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0A03C0C8" w14:textId="77777777" w:rsidR="00A11E11" w:rsidRDefault="00A11E11" w:rsidP="007F2C86">
      <w:pPr>
        <w:pStyle w:val="Tekstpodstawowy"/>
        <w:jc w:val="center"/>
        <w:rPr>
          <w:rFonts w:cs="Tahoma"/>
          <w:b/>
          <w:lang w:val="pl-PL"/>
        </w:rPr>
      </w:pPr>
    </w:p>
    <w:p w14:paraId="07422BD3" w14:textId="06394DFD" w:rsidR="00983A99" w:rsidRDefault="00F22E90"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Pr>
          <w:rFonts w:ascii="Tahoma" w:eastAsia="Calibri" w:hAnsi="Tahoma" w:cs="Tahoma"/>
          <w:b/>
          <w:sz w:val="24"/>
          <w:szCs w:val="20"/>
          <w:lang w:eastAsia="pl-PL"/>
        </w:rPr>
        <w:t>„</w:t>
      </w:r>
      <w:r w:rsidR="003718AD" w:rsidRPr="003718AD">
        <w:rPr>
          <w:rFonts w:ascii="Tahoma" w:eastAsia="Calibri" w:hAnsi="Tahoma" w:cs="Tahoma"/>
          <w:b/>
          <w:sz w:val="24"/>
          <w:szCs w:val="20"/>
          <w:lang w:eastAsia="pl-PL"/>
        </w:rPr>
        <w:t>Budowy sieci kanalizacji sanitarnej w Lubiczu Górnym, w ul. Nowowiejskiej, Handlowej i Przy Lesie”.</w:t>
      </w:r>
    </w:p>
    <w:p w14:paraId="1097EB83" w14:textId="52E2881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w:t>
      </w:r>
      <w:r w:rsidR="00D75815">
        <w:rPr>
          <w:rFonts w:ascii="Arial" w:eastAsia="Arial" w:hAnsi="Arial" w:cs="Arial"/>
          <w:b/>
          <w:bCs/>
          <w:color w:val="000000"/>
          <w:sz w:val="24"/>
          <w:szCs w:val="24"/>
          <w:lang w:eastAsia="pl-PL" w:bidi="pl-PL"/>
        </w:rPr>
        <w:t>5</w:t>
      </w:r>
      <w:r w:rsidR="00057D17" w:rsidRPr="00057D17">
        <w:rPr>
          <w:rFonts w:ascii="Arial" w:eastAsia="Arial" w:hAnsi="Arial" w:cs="Arial"/>
          <w:b/>
          <w:bCs/>
          <w:color w:val="000000"/>
          <w:sz w:val="24"/>
          <w:szCs w:val="24"/>
          <w:lang w:eastAsia="pl-PL" w:bidi="pl-PL"/>
        </w:rPr>
        <w:t>.2025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Pzp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Pzp.</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lub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37B6B77"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w:t>
      </w:r>
      <w:r w:rsidR="00E2281B">
        <w:rPr>
          <w:rFonts w:ascii="Arial" w:eastAsia="Arial" w:hAnsi="Arial" w:cs="Arial"/>
          <w:bCs/>
          <w:sz w:val="18"/>
          <w:szCs w:val="18"/>
        </w:rPr>
        <w:t>5</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7C74A1" w:rsidRPr="007C74A1">
        <w:rPr>
          <w:rFonts w:ascii="Arial" w:eastAsia="Arial" w:hAnsi="Arial" w:cs="Arial"/>
          <w:bCs/>
          <w:sz w:val="18"/>
          <w:szCs w:val="18"/>
        </w:rPr>
        <w:t>„Budowy sieci kanalizacji sanitarnej w Lubiczu Górnym, w ul. Nowowiejskiej, Handlowej i Przy Lesie”.</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pomocniczym zastosowaniem Pzp</w:t>
      </w:r>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Pzp. W związku z tym, że wartość zamówienia jest mniejsza od progów unijnych o jakich stanowi art. 3 Pzp, Zamawiający nie jest obowiązany do stosowania Pzp.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Pzp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lastRenderedPageBreak/>
        <w:t xml:space="preserve">Stosowanym w przedmiotowym przetargu nazwom i procedurom należy przypisać takie znaczenie, jakie nadaje im Pzp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 xml:space="preserve">Pzp mają charakter irrelewantny. Powyższe dokumenty powinny zostać w szczególności pozbawione adresów, czy numerów PESEL pracowników). Imię i nazwisko pracownika nie podlega anonimizacji. Informacje takie jak: data zawarcia umowy, rodzaj umowy o pracę, wymiar etatu i </w:t>
      </w:r>
      <w:r w:rsidRPr="006E075B">
        <w:rPr>
          <w:rFonts w:ascii="Arial" w:eastAsia="Arial" w:hAnsi="Arial" w:cs="Arial"/>
          <w:color w:val="000000"/>
          <w:sz w:val="18"/>
          <w:szCs w:val="18"/>
          <w:lang w:eastAsia="pl-PL" w:bidi="pl-PL"/>
        </w:rPr>
        <w:lastRenderedPageBreak/>
        <w:t>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889DC1C" w14:textId="25E12CB0" w:rsidR="00B71ED4" w:rsidRPr="002E1118" w:rsidRDefault="00B71ED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w:t>
      </w:r>
      <w:r w:rsidR="0097606B">
        <w:rPr>
          <w:rFonts w:ascii="Arial" w:eastAsia="Arial" w:hAnsi="Arial" w:cs="Arial"/>
          <w:color w:val="000000"/>
          <w:sz w:val="18"/>
          <w:szCs w:val="18"/>
          <w:lang w:eastAsia="pl-PL" w:bidi="pl-PL"/>
        </w:rPr>
        <w:t>231100-6 – ogólne roboty budowlane związane z budow</w:t>
      </w:r>
      <w:r w:rsidR="000761FF">
        <w:rPr>
          <w:rFonts w:ascii="Arial" w:eastAsia="Arial" w:hAnsi="Arial" w:cs="Arial"/>
          <w:color w:val="000000"/>
          <w:sz w:val="18"/>
          <w:szCs w:val="18"/>
          <w:lang w:eastAsia="pl-PL" w:bidi="pl-PL"/>
        </w:rPr>
        <w:t>ą rurociągów</w:t>
      </w:r>
    </w:p>
    <w:p w14:paraId="0C9EB704"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2E999F70" w14:textId="2F66CD61" w:rsidR="007526B4" w:rsidRPr="002E1118" w:rsidRDefault="007526B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45231110-9 – roboty budowlane w zakresie kładzenia rurociągów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r w:rsidRPr="006E075B">
        <w:rPr>
          <w:rFonts w:ascii="Arial" w:eastAsia="Arial" w:hAnsi="Arial" w:cs="Arial"/>
          <w:color w:val="000000"/>
          <w:sz w:val="18"/>
          <w:szCs w:val="18"/>
          <w:lang w:eastAsia="pl-PL" w:bidi="pl-PL"/>
        </w:rPr>
        <w:lastRenderedPageBreak/>
        <w:t>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 Pzp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4C8E11EC"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Wykonawca winien wykazać się osobami posiadającymi uprawnienia budowlane do sprawowania samodzielnych funkcji technicznych w budownictwie, zgodnie z wymaganymi przepisami ustawy z dn. 07.07.1994 r. Prawo budowlane (t.j.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lastRenderedPageBreak/>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r w:rsidRPr="006D3F44">
        <w:rPr>
          <w:rFonts w:ascii="Arial" w:eastAsia="Arial" w:hAnsi="Arial" w:cs="Arial"/>
          <w:sz w:val="18"/>
          <w:szCs w:val="18"/>
        </w:rPr>
        <w:lastRenderedPageBreak/>
        <w:t>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w:t>
      </w:r>
      <w:r w:rsidRPr="00371A0C">
        <w:rPr>
          <w:rFonts w:ascii="Arial" w:eastAsia="Arial" w:hAnsi="Arial" w:cs="Arial"/>
          <w:bCs/>
          <w:sz w:val="18"/>
          <w:szCs w:val="18"/>
        </w:rPr>
        <w:lastRenderedPageBreak/>
        <w:t>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lastRenderedPageBreak/>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 xml:space="preserve">Wszystkie pliki składające się na ofertę Wykonawca spakuje w archiwum (*.zip, *.rar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77F9400A"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0178BD">
        <w:rPr>
          <w:rFonts w:ascii="Arial" w:eastAsia="Arial" w:hAnsi="Arial" w:cs="Arial"/>
          <w:bCs/>
          <w:sz w:val="18"/>
          <w:szCs w:val="18"/>
          <w:lang w:eastAsia="pl-PL" w:bidi="pl-PL"/>
        </w:rPr>
        <w:t>13</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234C609A"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0178BD">
        <w:rPr>
          <w:rFonts w:ascii="Arial" w:eastAsia="Arial" w:hAnsi="Arial" w:cs="Arial"/>
          <w:bCs/>
          <w:color w:val="000000"/>
          <w:sz w:val="18"/>
          <w:szCs w:val="18"/>
          <w:lang w:eastAsia="pl-PL" w:bidi="pl-PL"/>
        </w:rPr>
        <w:t>15</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1B477926"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178BD">
        <w:rPr>
          <w:rFonts w:ascii="Arial" w:eastAsia="Arial" w:hAnsi="Arial" w:cs="Arial"/>
          <w:bCs/>
          <w:color w:val="000000"/>
          <w:sz w:val="18"/>
          <w:szCs w:val="18"/>
          <w:lang w:eastAsia="pl-PL" w:bidi="pl-PL"/>
        </w:rPr>
        <w:t>15</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lastRenderedPageBreak/>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może zawrzeć umowę w sprawie zamówienia publicznego przed upływem terminu, o którym mowa w ust. 1, jeżeli w postępowaniu o udzielenie zamówienia prowadzonym w trybie podstawowym złożono tylko jedną </w:t>
      </w:r>
      <w:r w:rsidRPr="00760ADE">
        <w:rPr>
          <w:rFonts w:ascii="Arial" w:eastAsia="Arial" w:hAnsi="Arial" w:cs="Arial"/>
          <w:bCs/>
          <w:color w:val="000000"/>
          <w:sz w:val="18"/>
          <w:szCs w:val="18"/>
          <w:lang w:eastAsia="pl-PL" w:bidi="pl-PL"/>
        </w:rPr>
        <w:lastRenderedPageBreak/>
        <w:t>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niniejszej umowy mogą nastąpić wyłącznie w okolicznościach, o których mowa w art. 454 i 455 Pzp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r w:rsidR="006868A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E59B" w14:textId="77777777" w:rsidR="00757501" w:rsidRDefault="00757501" w:rsidP="005841E8">
      <w:pPr>
        <w:spacing w:after="0" w:line="240" w:lineRule="auto"/>
      </w:pPr>
      <w:r>
        <w:separator/>
      </w:r>
    </w:p>
  </w:endnote>
  <w:endnote w:type="continuationSeparator" w:id="0">
    <w:p w14:paraId="55A1E00F" w14:textId="77777777" w:rsidR="00757501" w:rsidRDefault="0075750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757501"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5D5E" w14:textId="77777777" w:rsidR="00757501" w:rsidRDefault="00757501" w:rsidP="005841E8">
      <w:pPr>
        <w:spacing w:after="0" w:line="240" w:lineRule="auto"/>
      </w:pPr>
      <w:r>
        <w:separator/>
      </w:r>
    </w:p>
  </w:footnote>
  <w:footnote w:type="continuationSeparator" w:id="0">
    <w:p w14:paraId="5479C254" w14:textId="77777777" w:rsidR="00757501" w:rsidRDefault="0075750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178BD"/>
    <w:rsid w:val="00033600"/>
    <w:rsid w:val="0003501E"/>
    <w:rsid w:val="0004041A"/>
    <w:rsid w:val="00040516"/>
    <w:rsid w:val="00042BC6"/>
    <w:rsid w:val="00051664"/>
    <w:rsid w:val="0005468F"/>
    <w:rsid w:val="000563A0"/>
    <w:rsid w:val="00057751"/>
    <w:rsid w:val="00057D17"/>
    <w:rsid w:val="00074854"/>
    <w:rsid w:val="000758C6"/>
    <w:rsid w:val="000761FF"/>
    <w:rsid w:val="00080651"/>
    <w:rsid w:val="00086E01"/>
    <w:rsid w:val="000A3D0E"/>
    <w:rsid w:val="000A6321"/>
    <w:rsid w:val="000B001E"/>
    <w:rsid w:val="000B42CD"/>
    <w:rsid w:val="000B5963"/>
    <w:rsid w:val="000C4F8F"/>
    <w:rsid w:val="000C7A6E"/>
    <w:rsid w:val="000E3AE5"/>
    <w:rsid w:val="000E71E4"/>
    <w:rsid w:val="000F491B"/>
    <w:rsid w:val="00123325"/>
    <w:rsid w:val="001237A6"/>
    <w:rsid w:val="0012396A"/>
    <w:rsid w:val="001307F0"/>
    <w:rsid w:val="00146F8F"/>
    <w:rsid w:val="0015339A"/>
    <w:rsid w:val="001539BB"/>
    <w:rsid w:val="00154B79"/>
    <w:rsid w:val="00156E06"/>
    <w:rsid w:val="00165CFF"/>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8AD"/>
    <w:rsid w:val="00371A0C"/>
    <w:rsid w:val="00373830"/>
    <w:rsid w:val="00377437"/>
    <w:rsid w:val="003800DD"/>
    <w:rsid w:val="003865A6"/>
    <w:rsid w:val="003B2E1C"/>
    <w:rsid w:val="003B7F0D"/>
    <w:rsid w:val="003C18DE"/>
    <w:rsid w:val="003C709E"/>
    <w:rsid w:val="003D3808"/>
    <w:rsid w:val="003D53EB"/>
    <w:rsid w:val="003E67E0"/>
    <w:rsid w:val="003F1A38"/>
    <w:rsid w:val="00404B02"/>
    <w:rsid w:val="00405253"/>
    <w:rsid w:val="0042116A"/>
    <w:rsid w:val="0042568D"/>
    <w:rsid w:val="0042706E"/>
    <w:rsid w:val="004319C8"/>
    <w:rsid w:val="00432BD0"/>
    <w:rsid w:val="00433C01"/>
    <w:rsid w:val="0043515D"/>
    <w:rsid w:val="004423DE"/>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1D2"/>
    <w:rsid w:val="00684674"/>
    <w:rsid w:val="006864CA"/>
    <w:rsid w:val="00686504"/>
    <w:rsid w:val="006868AB"/>
    <w:rsid w:val="00687881"/>
    <w:rsid w:val="00695EA6"/>
    <w:rsid w:val="006A1C5E"/>
    <w:rsid w:val="006A1FF6"/>
    <w:rsid w:val="006B05A9"/>
    <w:rsid w:val="006B2998"/>
    <w:rsid w:val="006B5A81"/>
    <w:rsid w:val="006C109B"/>
    <w:rsid w:val="006C147D"/>
    <w:rsid w:val="006C3949"/>
    <w:rsid w:val="006D3F44"/>
    <w:rsid w:val="006E075B"/>
    <w:rsid w:val="006E1267"/>
    <w:rsid w:val="006F1B83"/>
    <w:rsid w:val="006F71BD"/>
    <w:rsid w:val="006F756C"/>
    <w:rsid w:val="007015F5"/>
    <w:rsid w:val="00714DF5"/>
    <w:rsid w:val="007263FF"/>
    <w:rsid w:val="00735959"/>
    <w:rsid w:val="00743BF7"/>
    <w:rsid w:val="007526B4"/>
    <w:rsid w:val="007541D9"/>
    <w:rsid w:val="00757501"/>
    <w:rsid w:val="00760ADE"/>
    <w:rsid w:val="00775B78"/>
    <w:rsid w:val="00785B60"/>
    <w:rsid w:val="00786673"/>
    <w:rsid w:val="00793968"/>
    <w:rsid w:val="007974BE"/>
    <w:rsid w:val="007A1EAA"/>
    <w:rsid w:val="007A1F1A"/>
    <w:rsid w:val="007A76E9"/>
    <w:rsid w:val="007B75BD"/>
    <w:rsid w:val="007C74A1"/>
    <w:rsid w:val="007D0E61"/>
    <w:rsid w:val="007D1491"/>
    <w:rsid w:val="007D434C"/>
    <w:rsid w:val="007E1732"/>
    <w:rsid w:val="007E1B95"/>
    <w:rsid w:val="007E1D47"/>
    <w:rsid w:val="007E5B32"/>
    <w:rsid w:val="007E7546"/>
    <w:rsid w:val="007F2C86"/>
    <w:rsid w:val="007F2DC6"/>
    <w:rsid w:val="00806E2E"/>
    <w:rsid w:val="00810645"/>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606B"/>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907"/>
    <w:rsid w:val="00B71ED4"/>
    <w:rsid w:val="00B817E8"/>
    <w:rsid w:val="00B83CCF"/>
    <w:rsid w:val="00B907D5"/>
    <w:rsid w:val="00B9367F"/>
    <w:rsid w:val="00BA2702"/>
    <w:rsid w:val="00BA3AA6"/>
    <w:rsid w:val="00BA7DE0"/>
    <w:rsid w:val="00BB023E"/>
    <w:rsid w:val="00BB507B"/>
    <w:rsid w:val="00BB65FB"/>
    <w:rsid w:val="00BB699F"/>
    <w:rsid w:val="00BB7090"/>
    <w:rsid w:val="00BC5951"/>
    <w:rsid w:val="00BC5E46"/>
    <w:rsid w:val="00BD56AE"/>
    <w:rsid w:val="00BE58B4"/>
    <w:rsid w:val="00BF0E21"/>
    <w:rsid w:val="00C0165D"/>
    <w:rsid w:val="00C02EE9"/>
    <w:rsid w:val="00C24D3B"/>
    <w:rsid w:val="00C251F9"/>
    <w:rsid w:val="00C31D45"/>
    <w:rsid w:val="00C31DBE"/>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5815"/>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01C16"/>
    <w:rsid w:val="00E1349B"/>
    <w:rsid w:val="00E136A4"/>
    <w:rsid w:val="00E2117C"/>
    <w:rsid w:val="00E2281B"/>
    <w:rsid w:val="00E37E05"/>
    <w:rsid w:val="00E47CCF"/>
    <w:rsid w:val="00E5692E"/>
    <w:rsid w:val="00E57EC0"/>
    <w:rsid w:val="00E63337"/>
    <w:rsid w:val="00E64F7E"/>
    <w:rsid w:val="00E659D8"/>
    <w:rsid w:val="00E6657E"/>
    <w:rsid w:val="00E70343"/>
    <w:rsid w:val="00EA25FF"/>
    <w:rsid w:val="00EC55F7"/>
    <w:rsid w:val="00EC7B7F"/>
    <w:rsid w:val="00ED04F3"/>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22E90"/>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9197</Words>
  <Characters>55187</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14</cp:revision>
  <cp:lastPrinted>2024-04-11T12:58:00Z</cp:lastPrinted>
  <dcterms:created xsi:type="dcterms:W3CDTF">2025-12-16T14:39:00Z</dcterms:created>
  <dcterms:modified xsi:type="dcterms:W3CDTF">2026-01-07T08:42:00Z</dcterms:modified>
</cp:coreProperties>
</file>