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0A03C0C8" w14:textId="77777777" w:rsidR="00A11E11" w:rsidRDefault="00A11E11" w:rsidP="007F2C86">
      <w:pPr>
        <w:pStyle w:val="Tekstpodstawowy"/>
        <w:jc w:val="center"/>
        <w:rPr>
          <w:rFonts w:cs="Tahoma"/>
          <w:b/>
          <w:lang w:val="pl-PL"/>
        </w:rPr>
      </w:pPr>
    </w:p>
    <w:p w14:paraId="07422BD3" w14:textId="06394DFD" w:rsidR="00983A99" w:rsidRDefault="00F22E90"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Pr>
          <w:rFonts w:ascii="Tahoma" w:eastAsia="Calibri" w:hAnsi="Tahoma" w:cs="Tahoma"/>
          <w:b/>
          <w:sz w:val="24"/>
          <w:szCs w:val="20"/>
          <w:lang w:eastAsia="pl-PL"/>
        </w:rPr>
        <w:t>„</w:t>
      </w:r>
      <w:r w:rsidR="003718AD" w:rsidRPr="003718AD">
        <w:rPr>
          <w:rFonts w:ascii="Tahoma" w:eastAsia="Calibri" w:hAnsi="Tahoma" w:cs="Tahoma"/>
          <w:b/>
          <w:sz w:val="24"/>
          <w:szCs w:val="20"/>
          <w:lang w:eastAsia="pl-PL"/>
        </w:rPr>
        <w:t>Budowy sieci kanalizacji sanitarnej w Lubiczu Górnym, w ul. Nowowiejskiej, Handlowej i Przy Lesie”.</w:t>
      </w:r>
    </w:p>
    <w:p w14:paraId="1097EB83" w14:textId="52E2881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w:t>
      </w:r>
      <w:r w:rsidR="00D75815">
        <w:rPr>
          <w:rFonts w:ascii="Arial" w:eastAsia="Arial" w:hAnsi="Arial" w:cs="Arial"/>
          <w:b/>
          <w:bCs/>
          <w:color w:val="000000"/>
          <w:sz w:val="24"/>
          <w:szCs w:val="24"/>
          <w:lang w:eastAsia="pl-PL" w:bidi="pl-PL"/>
        </w:rPr>
        <w:t>5</w:t>
      </w:r>
      <w:r w:rsidR="00057D17" w:rsidRPr="00057D17">
        <w:rPr>
          <w:rFonts w:ascii="Arial" w:eastAsia="Arial" w:hAnsi="Arial" w:cs="Arial"/>
          <w:b/>
          <w:bCs/>
          <w:color w:val="000000"/>
          <w:sz w:val="24"/>
          <w:szCs w:val="24"/>
          <w:lang w:eastAsia="pl-PL" w:bidi="pl-PL"/>
        </w:rPr>
        <w:t>.2025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w:t>
      </w:r>
      <w:proofErr w:type="spellStart"/>
      <w:r w:rsidRPr="000C4F8F">
        <w:rPr>
          <w:rFonts w:ascii="Arial" w:eastAsia="Arial" w:hAnsi="Arial" w:cs="Arial"/>
          <w:b/>
          <w:bCs/>
          <w:color w:val="FF0000"/>
          <w:sz w:val="24"/>
          <w:szCs w:val="24"/>
          <w:lang w:eastAsia="pl-PL" w:bidi="pl-PL"/>
        </w:rPr>
        <w:t>Pzp</w:t>
      </w:r>
      <w:proofErr w:type="spellEnd"/>
      <w:r w:rsidRPr="000C4F8F">
        <w:rPr>
          <w:rFonts w:ascii="Arial" w:eastAsia="Arial" w:hAnsi="Arial" w:cs="Arial"/>
          <w:b/>
          <w:bCs/>
          <w:color w:val="FF0000"/>
          <w:sz w:val="24"/>
          <w:szCs w:val="24"/>
          <w:lang w:eastAsia="pl-PL" w:bidi="pl-PL"/>
        </w:rPr>
        <w:t xml:space="preserve">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w:t>
      </w:r>
      <w:proofErr w:type="spellStart"/>
      <w:r w:rsidRPr="000C4F8F">
        <w:rPr>
          <w:rFonts w:ascii="Arial" w:eastAsia="Arial" w:hAnsi="Arial" w:cs="Arial"/>
          <w:b/>
          <w:bCs/>
          <w:color w:val="FF0000"/>
          <w:sz w:val="24"/>
          <w:szCs w:val="24"/>
          <w:lang w:eastAsia="pl-PL" w:bidi="pl-PL"/>
        </w:rPr>
        <w:t>Pzp</w:t>
      </w:r>
      <w:proofErr w:type="spellEnd"/>
      <w:r w:rsidRPr="000C4F8F">
        <w:rPr>
          <w:rFonts w:ascii="Arial" w:eastAsia="Arial" w:hAnsi="Arial" w:cs="Arial"/>
          <w:b/>
          <w:bCs/>
          <w:color w:val="FF0000"/>
          <w:sz w:val="24"/>
          <w:szCs w:val="24"/>
          <w:lang w:eastAsia="pl-PL" w:bidi="pl-PL"/>
        </w:rPr>
        <w:t>.</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w:t>
      </w:r>
      <w:proofErr w:type="spellStart"/>
      <w:r w:rsidR="00F107E0">
        <w:rPr>
          <w:rFonts w:ascii="Arial" w:eastAsia="Times New Roman" w:hAnsi="Arial" w:cs="Arial"/>
          <w:color w:val="000000"/>
          <w:sz w:val="18"/>
          <w:szCs w:val="18"/>
          <w:lang w:val="en-US" w:eastAsia="ar-SA" w:bidi="pl-PL"/>
        </w:rPr>
        <w:t>lub</w:t>
      </w:r>
      <w:proofErr w:type="spellEnd"/>
      <w:r w:rsidR="00F107E0">
        <w:rPr>
          <w:rFonts w:ascii="Arial" w:eastAsia="Times New Roman" w:hAnsi="Arial" w:cs="Arial"/>
          <w:color w:val="000000"/>
          <w:sz w:val="18"/>
          <w:szCs w:val="18"/>
          <w:lang w:val="en-US" w:eastAsia="ar-SA" w:bidi="pl-PL"/>
        </w:rPr>
        <w:t xml:space="preserve">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37B6B77"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w:t>
      </w:r>
      <w:r w:rsidR="00E2281B">
        <w:rPr>
          <w:rFonts w:ascii="Arial" w:eastAsia="Arial" w:hAnsi="Arial" w:cs="Arial"/>
          <w:bCs/>
          <w:sz w:val="18"/>
          <w:szCs w:val="18"/>
        </w:rPr>
        <w:t>5</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7C74A1" w:rsidRPr="007C74A1">
        <w:rPr>
          <w:rFonts w:ascii="Arial" w:eastAsia="Arial" w:hAnsi="Arial" w:cs="Arial"/>
          <w:bCs/>
          <w:sz w:val="18"/>
          <w:szCs w:val="18"/>
        </w:rPr>
        <w:t>„Budowy sieci kanalizacji sanitarnej w Lubiczu Górnym, w ul. Nowowiejskiej, Handlowej i Przy Lesie”.</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 xml:space="preserve">74 </w:t>
      </w:r>
      <w:proofErr w:type="spellStart"/>
      <w:r w:rsidR="00040516">
        <w:rPr>
          <w:rFonts w:ascii="Arial" w:eastAsia="Arial" w:hAnsi="Arial" w:cs="Arial"/>
          <w:bCs/>
          <w:sz w:val="18"/>
          <w:szCs w:val="18"/>
        </w:rPr>
        <w:t>Pzp</w:t>
      </w:r>
      <w:proofErr w:type="spellEnd"/>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 xml:space="preserve">pomocniczym zastosowaniem </w:t>
      </w:r>
      <w:proofErr w:type="spellStart"/>
      <w:r w:rsidRPr="006B5A81">
        <w:rPr>
          <w:rFonts w:ascii="Arial" w:eastAsia="Arial" w:hAnsi="Arial" w:cs="Arial"/>
          <w:b/>
          <w:bCs/>
          <w:color w:val="FF0000"/>
          <w:sz w:val="18"/>
          <w:szCs w:val="18"/>
          <w:u w:val="single"/>
        </w:rPr>
        <w:t>Pzp</w:t>
      </w:r>
      <w:proofErr w:type="spellEnd"/>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W związku z tym, że wartość zamówienia jest mniejsza od progów unijnych o jakich stanowi art. 3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Zamawiający nie jest obowiązany do stosowania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lastRenderedPageBreak/>
        <w:t xml:space="preserve">Stosowanym w przedmiotowym przetargu nazwom i procedurom należy przypisać takie znaczenie, jakie nadaje im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xml:space="preserve">. Informacje takie jak: data zawarcia umowy, rodzaj umowy o pracę, wymiar etatu i </w:t>
      </w:r>
      <w:r w:rsidRPr="006E075B">
        <w:rPr>
          <w:rFonts w:ascii="Arial" w:eastAsia="Arial" w:hAnsi="Arial" w:cs="Arial"/>
          <w:color w:val="000000"/>
          <w:sz w:val="18"/>
          <w:szCs w:val="18"/>
          <w:lang w:eastAsia="pl-PL" w:bidi="pl-PL"/>
        </w:rPr>
        <w:lastRenderedPageBreak/>
        <w:t>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889DC1C" w14:textId="25E12CB0" w:rsidR="00B71ED4" w:rsidRPr="002E1118" w:rsidRDefault="00B71ED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w:t>
      </w:r>
      <w:r w:rsidR="0097606B">
        <w:rPr>
          <w:rFonts w:ascii="Arial" w:eastAsia="Arial" w:hAnsi="Arial" w:cs="Arial"/>
          <w:color w:val="000000"/>
          <w:sz w:val="18"/>
          <w:szCs w:val="18"/>
          <w:lang w:eastAsia="pl-PL" w:bidi="pl-PL"/>
        </w:rPr>
        <w:t>231100-6 – ogólne roboty budowlane związane z budow</w:t>
      </w:r>
      <w:r w:rsidR="000761FF">
        <w:rPr>
          <w:rFonts w:ascii="Arial" w:eastAsia="Arial" w:hAnsi="Arial" w:cs="Arial"/>
          <w:color w:val="000000"/>
          <w:sz w:val="18"/>
          <w:szCs w:val="18"/>
          <w:lang w:eastAsia="pl-PL" w:bidi="pl-PL"/>
        </w:rPr>
        <w:t>ą rurociągów</w:t>
      </w:r>
    </w:p>
    <w:p w14:paraId="0C9EB704"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2E999F70" w14:textId="2F66CD61" w:rsidR="007526B4" w:rsidRPr="002E1118" w:rsidRDefault="007526B4" w:rsidP="00644EE6">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45231110-9 – roboty budowlane w zakresie kładzenia rurociągów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r w:rsidRPr="006E075B">
        <w:rPr>
          <w:rFonts w:ascii="Arial" w:eastAsia="Arial" w:hAnsi="Arial" w:cs="Arial"/>
          <w:color w:val="000000"/>
          <w:sz w:val="18"/>
          <w:szCs w:val="18"/>
          <w:lang w:eastAsia="pl-PL" w:bidi="pl-PL"/>
        </w:rPr>
        <w:lastRenderedPageBreak/>
        <w:t>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 xml:space="preserve">ch w rozumieniu przepisu art. 214 ust. 1 pkt 7 </w:t>
      </w:r>
      <w:proofErr w:type="spellStart"/>
      <w:r>
        <w:rPr>
          <w:rFonts w:ascii="Arial" w:eastAsia="Arial" w:hAnsi="Arial" w:cs="Arial"/>
          <w:color w:val="000000"/>
          <w:sz w:val="18"/>
          <w:szCs w:val="18"/>
          <w:lang w:eastAsia="pl-PL" w:bidi="pl-PL"/>
        </w:rPr>
        <w:t>Pzp</w:t>
      </w:r>
      <w:proofErr w:type="spellEnd"/>
      <w:r>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4C8E11EC"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BB7090">
        <w:rPr>
          <w:rFonts w:ascii="Arial" w:eastAsia="Courier New" w:hAnsi="Arial" w:cs="Arial"/>
          <w:color w:val="000000"/>
          <w:sz w:val="18"/>
          <w:szCs w:val="18"/>
          <w:lang w:eastAsia="pl-PL" w:bidi="pl-PL"/>
        </w:rPr>
        <w:t>2</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proofErr w:type="spellStart"/>
      <w:r w:rsidRPr="006E075B">
        <w:rPr>
          <w:rFonts w:ascii="Arial" w:eastAsia="Courier New" w:hAnsi="Arial" w:cs="Arial"/>
          <w:color w:val="000000"/>
          <w:sz w:val="18"/>
          <w:szCs w:val="18"/>
          <w:lang w:eastAsia="pl-PL"/>
        </w:rPr>
        <w:t>t.j</w:t>
      </w:r>
      <w:proofErr w:type="spellEnd"/>
      <w:r w:rsidRPr="006E075B">
        <w:rPr>
          <w:rFonts w:ascii="Arial" w:eastAsia="Courier New" w:hAnsi="Arial" w:cs="Arial"/>
          <w:color w:val="000000"/>
          <w:sz w:val="18"/>
          <w:szCs w:val="18"/>
          <w:lang w:eastAsia="pl-PL"/>
        </w:rPr>
        <w:t xml:space="preserve">.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lastRenderedPageBreak/>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sidR="007D434C">
        <w:rPr>
          <w:rFonts w:ascii="Arial" w:eastAsia="Arial" w:hAnsi="Arial" w:cs="Arial"/>
          <w:color w:val="000000"/>
          <w:sz w:val="18"/>
          <w:szCs w:val="18"/>
          <w:lang w:eastAsia="pl-PL" w:bidi="pl-PL"/>
        </w:rPr>
        <w:t>tj</w:t>
      </w:r>
      <w:proofErr w:type="spellEnd"/>
      <w:r w:rsidR="007D434C">
        <w:rPr>
          <w:rFonts w:ascii="Arial" w:eastAsia="Arial" w:hAnsi="Arial" w:cs="Arial"/>
          <w:color w:val="000000"/>
          <w:sz w:val="18"/>
          <w:szCs w:val="18"/>
          <w:lang w:eastAsia="pl-PL" w:bidi="pl-PL"/>
        </w:rPr>
        <w:t>:</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r w:rsidRPr="006D3F44">
        <w:rPr>
          <w:rFonts w:ascii="Arial" w:eastAsia="Arial" w:hAnsi="Arial" w:cs="Arial"/>
          <w:sz w:val="18"/>
          <w:szCs w:val="18"/>
        </w:rPr>
        <w:lastRenderedPageBreak/>
        <w:t>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w:t>
      </w:r>
      <w:proofErr w:type="spellStart"/>
      <w:r w:rsidRPr="00983A99">
        <w:rPr>
          <w:rFonts w:ascii="Arial" w:eastAsia="Arial" w:hAnsi="Arial" w:cs="Arial"/>
          <w:sz w:val="18"/>
          <w:szCs w:val="18"/>
        </w:rPr>
        <w:t>Pzp</w:t>
      </w:r>
      <w:proofErr w:type="spellEnd"/>
      <w:r w:rsidRPr="00983A99">
        <w:rPr>
          <w:rFonts w:ascii="Arial" w:eastAsia="Arial" w:hAnsi="Arial" w:cs="Arial"/>
          <w:sz w:val="18"/>
          <w:szCs w:val="18"/>
        </w:rPr>
        <w:t xml:space="preserve">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w:t>
      </w:r>
      <w:proofErr w:type="spellStart"/>
      <w:r w:rsidR="00785B60" w:rsidRPr="003659B7">
        <w:rPr>
          <w:rFonts w:ascii="Arial" w:eastAsia="Arial" w:hAnsi="Arial" w:cs="Arial"/>
          <w:color w:val="000000"/>
          <w:sz w:val="18"/>
          <w:szCs w:val="18"/>
          <w:lang w:eastAsia="pl-PL" w:bidi="pl-PL"/>
        </w:rPr>
        <w:t>tiret</w:t>
      </w:r>
      <w:proofErr w:type="spellEnd"/>
      <w:r w:rsidR="00785B60" w:rsidRPr="003659B7">
        <w:rPr>
          <w:rFonts w:ascii="Arial" w:eastAsia="Arial" w:hAnsi="Arial" w:cs="Arial"/>
          <w:color w:val="000000"/>
          <w:sz w:val="18"/>
          <w:szCs w:val="18"/>
          <w:lang w:eastAsia="pl-PL" w:bidi="pl-PL"/>
        </w:rPr>
        <w:t xml:space="preserve">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proofErr w:type="spellStart"/>
      <w:r>
        <w:rPr>
          <w:rFonts w:ascii="Arial" w:eastAsia="Arial" w:hAnsi="Arial" w:cs="Arial"/>
          <w:bCs/>
          <w:sz w:val="18"/>
          <w:szCs w:val="18"/>
        </w:rPr>
        <w:t>Pzp</w:t>
      </w:r>
      <w:proofErr w:type="spellEnd"/>
      <w:r w:rsidRPr="00371A0C">
        <w:rPr>
          <w:rFonts w:ascii="Arial" w:eastAsia="Arial" w:hAnsi="Arial" w:cs="Arial"/>
          <w:bCs/>
          <w:sz w:val="18"/>
          <w:szCs w:val="18"/>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w:t>
      </w:r>
      <w:r w:rsidRPr="00371A0C">
        <w:rPr>
          <w:rFonts w:ascii="Arial" w:eastAsia="Arial" w:hAnsi="Arial" w:cs="Arial"/>
          <w:bCs/>
          <w:sz w:val="18"/>
          <w:szCs w:val="18"/>
        </w:rPr>
        <w:lastRenderedPageBreak/>
        <w:t>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lastRenderedPageBreak/>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Wszystkie pliki składające się na ofertę Wykonawca spakuje w archiwum (*.zip, *.</w:t>
      </w:r>
      <w:proofErr w:type="spellStart"/>
      <w:r w:rsidRPr="00516BAD">
        <w:rPr>
          <w:rFonts w:ascii="Arial" w:eastAsia="Arial" w:hAnsi="Arial" w:cs="Arial"/>
          <w:bCs/>
          <w:sz w:val="18"/>
          <w:szCs w:val="18"/>
        </w:rPr>
        <w:t>rar</w:t>
      </w:r>
      <w:proofErr w:type="spellEnd"/>
      <w:r w:rsidRPr="00516BAD">
        <w:rPr>
          <w:rFonts w:ascii="Arial" w:eastAsia="Arial" w:hAnsi="Arial" w:cs="Arial"/>
          <w:bCs/>
          <w:sz w:val="18"/>
          <w:szCs w:val="18"/>
        </w:rPr>
        <w:t xml:space="preserve">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140BD18F"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A57409">
        <w:rPr>
          <w:rFonts w:ascii="Arial" w:eastAsia="Arial" w:hAnsi="Arial" w:cs="Arial"/>
          <w:bCs/>
          <w:sz w:val="18"/>
          <w:szCs w:val="18"/>
          <w:lang w:eastAsia="pl-PL" w:bidi="pl-PL"/>
        </w:rPr>
        <w:t>06</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55362555"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7015F5">
        <w:rPr>
          <w:rFonts w:ascii="Arial" w:eastAsia="Arial" w:hAnsi="Arial" w:cs="Arial"/>
          <w:bCs/>
          <w:color w:val="000000"/>
          <w:sz w:val="18"/>
          <w:szCs w:val="18"/>
          <w:lang w:eastAsia="pl-PL" w:bidi="pl-PL"/>
        </w:rPr>
        <w:t>8</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17E51693"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7015F5">
        <w:rPr>
          <w:rFonts w:ascii="Arial" w:eastAsia="Arial" w:hAnsi="Arial" w:cs="Arial"/>
          <w:bCs/>
          <w:color w:val="000000"/>
          <w:sz w:val="18"/>
          <w:szCs w:val="18"/>
          <w:lang w:eastAsia="pl-PL" w:bidi="pl-PL"/>
        </w:rPr>
        <w:t>8</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lastRenderedPageBreak/>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może zawrzeć umowę w sprawie zamówienia publicznego przed upływem terminu, o którym mowa w ust. 1, jeżeli w postępowaniu o udzielenie zamówienia prowadzonym w trybie podstawowym złożono tylko jedną </w:t>
      </w:r>
      <w:r w:rsidRPr="00760ADE">
        <w:rPr>
          <w:rFonts w:ascii="Arial" w:eastAsia="Arial" w:hAnsi="Arial" w:cs="Arial"/>
          <w:bCs/>
          <w:color w:val="000000"/>
          <w:sz w:val="18"/>
          <w:szCs w:val="18"/>
          <w:lang w:eastAsia="pl-PL" w:bidi="pl-PL"/>
        </w:rPr>
        <w:lastRenderedPageBreak/>
        <w:t>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 xml:space="preserve">niniejszej umowy mogą nastąpić wyłącznie w okolicznościach, o których mowa w art. 454 i 455 </w:t>
      </w:r>
      <w:proofErr w:type="spellStart"/>
      <w:r w:rsidR="006C109B" w:rsidRPr="00BA31DE">
        <w:rPr>
          <w:rFonts w:ascii="Arial" w:eastAsia="Arial" w:hAnsi="Arial" w:cs="Arial"/>
          <w:bCs/>
          <w:color w:val="000000"/>
          <w:sz w:val="18"/>
          <w:szCs w:val="18"/>
          <w:lang w:eastAsia="pl-PL" w:bidi="pl-PL"/>
        </w:rPr>
        <w:t>Pzp</w:t>
      </w:r>
      <w:proofErr w:type="spellEnd"/>
      <w:r w:rsidR="006C109B" w:rsidRPr="00BA31DE">
        <w:rPr>
          <w:rFonts w:ascii="Arial" w:eastAsia="Arial" w:hAnsi="Arial" w:cs="Arial"/>
          <w:bCs/>
          <w:color w:val="000000"/>
          <w:sz w:val="18"/>
          <w:szCs w:val="18"/>
          <w:lang w:eastAsia="pl-PL" w:bidi="pl-PL"/>
        </w:rPr>
        <w:t xml:space="preserve">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proofErr w:type="spellStart"/>
      <w:r w:rsidR="006868AB">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FF60" w14:textId="77777777" w:rsidR="00E01C16" w:rsidRDefault="00E01C16" w:rsidP="005841E8">
      <w:pPr>
        <w:spacing w:after="0" w:line="240" w:lineRule="auto"/>
      </w:pPr>
      <w:r>
        <w:separator/>
      </w:r>
    </w:p>
  </w:endnote>
  <w:endnote w:type="continuationSeparator" w:id="0">
    <w:p w14:paraId="6E11A37E" w14:textId="77777777" w:rsidR="00E01C16" w:rsidRDefault="00E01C16"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E01C16"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6E1A" w14:textId="77777777" w:rsidR="00E01C16" w:rsidRDefault="00E01C16" w:rsidP="005841E8">
      <w:pPr>
        <w:spacing w:after="0" w:line="240" w:lineRule="auto"/>
      </w:pPr>
      <w:r>
        <w:separator/>
      </w:r>
    </w:p>
  </w:footnote>
  <w:footnote w:type="continuationSeparator" w:id="0">
    <w:p w14:paraId="40EC4B27" w14:textId="77777777" w:rsidR="00E01C16" w:rsidRDefault="00E01C16"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33600"/>
    <w:rsid w:val="0003501E"/>
    <w:rsid w:val="0004041A"/>
    <w:rsid w:val="00040516"/>
    <w:rsid w:val="00042BC6"/>
    <w:rsid w:val="00051664"/>
    <w:rsid w:val="0005468F"/>
    <w:rsid w:val="000563A0"/>
    <w:rsid w:val="00057751"/>
    <w:rsid w:val="00057D17"/>
    <w:rsid w:val="00074854"/>
    <w:rsid w:val="000758C6"/>
    <w:rsid w:val="000761FF"/>
    <w:rsid w:val="00080651"/>
    <w:rsid w:val="00086E01"/>
    <w:rsid w:val="000A3D0E"/>
    <w:rsid w:val="000A6321"/>
    <w:rsid w:val="000B001E"/>
    <w:rsid w:val="000B42CD"/>
    <w:rsid w:val="000B5963"/>
    <w:rsid w:val="000C4F8F"/>
    <w:rsid w:val="000C7A6E"/>
    <w:rsid w:val="000E3AE5"/>
    <w:rsid w:val="000E71E4"/>
    <w:rsid w:val="000F491B"/>
    <w:rsid w:val="00123325"/>
    <w:rsid w:val="001237A6"/>
    <w:rsid w:val="0012396A"/>
    <w:rsid w:val="001307F0"/>
    <w:rsid w:val="00146F8F"/>
    <w:rsid w:val="0015339A"/>
    <w:rsid w:val="001539BB"/>
    <w:rsid w:val="00154B79"/>
    <w:rsid w:val="00156E06"/>
    <w:rsid w:val="00165CFF"/>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8AD"/>
    <w:rsid w:val="00371A0C"/>
    <w:rsid w:val="00373830"/>
    <w:rsid w:val="00377437"/>
    <w:rsid w:val="003800DD"/>
    <w:rsid w:val="003865A6"/>
    <w:rsid w:val="003B2E1C"/>
    <w:rsid w:val="003B7F0D"/>
    <w:rsid w:val="003C18DE"/>
    <w:rsid w:val="003C709E"/>
    <w:rsid w:val="003D3808"/>
    <w:rsid w:val="003D53EB"/>
    <w:rsid w:val="003E67E0"/>
    <w:rsid w:val="003F1A38"/>
    <w:rsid w:val="00404B02"/>
    <w:rsid w:val="00405253"/>
    <w:rsid w:val="0042116A"/>
    <w:rsid w:val="0042568D"/>
    <w:rsid w:val="0042706E"/>
    <w:rsid w:val="004319C8"/>
    <w:rsid w:val="00432BD0"/>
    <w:rsid w:val="00433C01"/>
    <w:rsid w:val="0043515D"/>
    <w:rsid w:val="004423DE"/>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674"/>
    <w:rsid w:val="006864CA"/>
    <w:rsid w:val="00686504"/>
    <w:rsid w:val="006868AB"/>
    <w:rsid w:val="00687881"/>
    <w:rsid w:val="00695EA6"/>
    <w:rsid w:val="006A1C5E"/>
    <w:rsid w:val="006A1FF6"/>
    <w:rsid w:val="006B05A9"/>
    <w:rsid w:val="006B2998"/>
    <w:rsid w:val="006B5A81"/>
    <w:rsid w:val="006C109B"/>
    <w:rsid w:val="006C147D"/>
    <w:rsid w:val="006C3949"/>
    <w:rsid w:val="006D3F44"/>
    <w:rsid w:val="006E075B"/>
    <w:rsid w:val="006E1267"/>
    <w:rsid w:val="006F1B83"/>
    <w:rsid w:val="006F71BD"/>
    <w:rsid w:val="006F756C"/>
    <w:rsid w:val="007015F5"/>
    <w:rsid w:val="00714DF5"/>
    <w:rsid w:val="007263FF"/>
    <w:rsid w:val="00735959"/>
    <w:rsid w:val="00743BF7"/>
    <w:rsid w:val="007526B4"/>
    <w:rsid w:val="007541D9"/>
    <w:rsid w:val="00760ADE"/>
    <w:rsid w:val="00775B78"/>
    <w:rsid w:val="00785B60"/>
    <w:rsid w:val="00786673"/>
    <w:rsid w:val="00793968"/>
    <w:rsid w:val="007974BE"/>
    <w:rsid w:val="007A1EAA"/>
    <w:rsid w:val="007A1F1A"/>
    <w:rsid w:val="007A76E9"/>
    <w:rsid w:val="007B75BD"/>
    <w:rsid w:val="007C74A1"/>
    <w:rsid w:val="007D0E61"/>
    <w:rsid w:val="007D1491"/>
    <w:rsid w:val="007D434C"/>
    <w:rsid w:val="007E1732"/>
    <w:rsid w:val="007E1B95"/>
    <w:rsid w:val="007E1D47"/>
    <w:rsid w:val="007E5B32"/>
    <w:rsid w:val="007E7546"/>
    <w:rsid w:val="007F2C86"/>
    <w:rsid w:val="007F2DC6"/>
    <w:rsid w:val="00806E2E"/>
    <w:rsid w:val="00810645"/>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606B"/>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907"/>
    <w:rsid w:val="00B71ED4"/>
    <w:rsid w:val="00B817E8"/>
    <w:rsid w:val="00B83CCF"/>
    <w:rsid w:val="00B907D5"/>
    <w:rsid w:val="00B9367F"/>
    <w:rsid w:val="00BA2702"/>
    <w:rsid w:val="00BA3AA6"/>
    <w:rsid w:val="00BA7DE0"/>
    <w:rsid w:val="00BB023E"/>
    <w:rsid w:val="00BB507B"/>
    <w:rsid w:val="00BB65FB"/>
    <w:rsid w:val="00BB699F"/>
    <w:rsid w:val="00BB7090"/>
    <w:rsid w:val="00BC5951"/>
    <w:rsid w:val="00BC5E46"/>
    <w:rsid w:val="00BD56AE"/>
    <w:rsid w:val="00BE58B4"/>
    <w:rsid w:val="00BF0E21"/>
    <w:rsid w:val="00C0165D"/>
    <w:rsid w:val="00C02EE9"/>
    <w:rsid w:val="00C24D3B"/>
    <w:rsid w:val="00C251F9"/>
    <w:rsid w:val="00C31D45"/>
    <w:rsid w:val="00C31DBE"/>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5815"/>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01C16"/>
    <w:rsid w:val="00E1349B"/>
    <w:rsid w:val="00E136A4"/>
    <w:rsid w:val="00E2117C"/>
    <w:rsid w:val="00E2281B"/>
    <w:rsid w:val="00E37E05"/>
    <w:rsid w:val="00E47CCF"/>
    <w:rsid w:val="00E5692E"/>
    <w:rsid w:val="00E57EC0"/>
    <w:rsid w:val="00E63337"/>
    <w:rsid w:val="00E64F7E"/>
    <w:rsid w:val="00E659D8"/>
    <w:rsid w:val="00E6657E"/>
    <w:rsid w:val="00E70343"/>
    <w:rsid w:val="00EA25FF"/>
    <w:rsid w:val="00EC55F7"/>
    <w:rsid w:val="00EC7B7F"/>
    <w:rsid w:val="00ED04F3"/>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22E90"/>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9197</Words>
  <Characters>55185</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13</cp:revision>
  <cp:lastPrinted>2024-04-11T12:58:00Z</cp:lastPrinted>
  <dcterms:created xsi:type="dcterms:W3CDTF">2025-12-16T14:39:00Z</dcterms:created>
  <dcterms:modified xsi:type="dcterms:W3CDTF">2025-12-17T09:54:00Z</dcterms:modified>
</cp:coreProperties>
</file>