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3604150A" w14:textId="3A39D657" w:rsidR="001971B6" w:rsidRDefault="00463959" w:rsidP="00800B93">
      <w:pPr>
        <w:pStyle w:val="Tekstpodstawowy"/>
        <w:jc w:val="center"/>
        <w:rPr>
          <w:rFonts w:cs="Tahoma"/>
          <w:b/>
          <w:lang w:val="pl-PL"/>
        </w:rPr>
      </w:pPr>
      <w:r w:rsidRPr="00463959">
        <w:rPr>
          <w:rFonts w:cs="Tahoma"/>
          <w:b/>
          <w:lang w:val="pl-PL"/>
        </w:rPr>
        <w:t>„</w:t>
      </w:r>
      <w:r w:rsidR="00800B93" w:rsidRPr="00800B93">
        <w:rPr>
          <w:rFonts w:cs="Tahoma"/>
          <w:b/>
          <w:bCs/>
          <w:lang w:val="pl-PL"/>
        </w:rPr>
        <w:t>Przebudowa ulicy Liliowej i Różanej w Złotorii</w:t>
      </w:r>
      <w:r w:rsidR="00800B93" w:rsidRPr="00800B93">
        <w:rPr>
          <w:rFonts w:cs="Tahoma"/>
          <w:b/>
          <w:lang w:val="pl-PL"/>
        </w:rPr>
        <w:t>”</w:t>
      </w:r>
    </w:p>
    <w:p w14:paraId="6763FC0F" w14:textId="77777777" w:rsidR="00463959" w:rsidRPr="00BA31DE" w:rsidRDefault="00463959" w:rsidP="001971B6">
      <w:pPr>
        <w:pStyle w:val="Tekstpodstawowy"/>
        <w:jc w:val="center"/>
        <w:rPr>
          <w:rFonts w:cs="Tahoma"/>
          <w:b/>
          <w:lang w:val="pl-PL"/>
        </w:rPr>
      </w:pPr>
    </w:p>
    <w:p w14:paraId="256F4617" w14:textId="379669AC"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DC3B96" w:rsidRPr="00DC3B96">
        <w:rPr>
          <w:rFonts w:ascii="Arial" w:eastAsia="Arial" w:hAnsi="Arial" w:cs="Arial"/>
          <w:b/>
          <w:bCs/>
          <w:sz w:val="24"/>
          <w:szCs w:val="24"/>
          <w:lang w:eastAsia="pl-PL" w:bidi="pl-PL"/>
        </w:rPr>
        <w:t>ORG.271.1</w:t>
      </w:r>
      <w:r w:rsidR="00FD4356">
        <w:rPr>
          <w:rFonts w:ascii="Arial" w:eastAsia="Arial" w:hAnsi="Arial" w:cs="Arial"/>
          <w:b/>
          <w:bCs/>
          <w:sz w:val="24"/>
          <w:szCs w:val="24"/>
          <w:lang w:eastAsia="pl-PL" w:bidi="pl-PL"/>
        </w:rPr>
        <w:t>7</w:t>
      </w:r>
      <w:r w:rsidR="00DC3B96" w:rsidRPr="00DC3B96">
        <w:rPr>
          <w:rFonts w:ascii="Arial" w:eastAsia="Arial" w:hAnsi="Arial" w:cs="Arial"/>
          <w:b/>
          <w:bCs/>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759BF230"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FD4356">
        <w:rPr>
          <w:rFonts w:ascii="Arial" w:eastAsia="Arial" w:hAnsi="Arial" w:cs="Arial"/>
          <w:b/>
          <w:bCs/>
          <w:color w:val="000000"/>
          <w:sz w:val="18"/>
          <w:szCs w:val="18"/>
          <w:lang w:eastAsia="pl-PL" w:bidi="pl-PL"/>
        </w:rPr>
        <w:t>27</w:t>
      </w:r>
      <w:r w:rsidR="002C0284">
        <w:rPr>
          <w:rFonts w:ascii="Arial" w:eastAsia="Arial" w:hAnsi="Arial" w:cs="Arial"/>
          <w:b/>
          <w:bCs/>
          <w:color w:val="000000"/>
          <w:sz w:val="18"/>
          <w:szCs w:val="18"/>
          <w:lang w:eastAsia="pl-PL" w:bidi="pl-PL"/>
        </w:rPr>
        <w:t xml:space="preserve"> </w:t>
      </w:r>
      <w:r w:rsidR="009E3D6C">
        <w:rPr>
          <w:rFonts w:ascii="Arial" w:eastAsia="Arial" w:hAnsi="Arial" w:cs="Arial"/>
          <w:b/>
          <w:bCs/>
          <w:color w:val="000000"/>
          <w:sz w:val="18"/>
          <w:szCs w:val="18"/>
          <w:lang w:eastAsia="pl-PL" w:bidi="pl-PL"/>
        </w:rPr>
        <w:t>październik</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A0D2C47"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w:t>
      </w:r>
      <w:r w:rsidR="00D16403" w:rsidRPr="00D16403">
        <w:rPr>
          <w:rFonts w:ascii="Arial" w:eastAsia="Arial" w:hAnsi="Arial" w:cs="Arial"/>
          <w:bCs/>
          <w:sz w:val="18"/>
          <w:szCs w:val="18"/>
        </w:rPr>
        <w:t>271.1</w:t>
      </w:r>
      <w:r w:rsidR="009C2635">
        <w:rPr>
          <w:rFonts w:ascii="Arial" w:eastAsia="Arial" w:hAnsi="Arial" w:cs="Arial"/>
          <w:bCs/>
          <w:sz w:val="18"/>
          <w:szCs w:val="18"/>
        </w:rPr>
        <w:t>7</w:t>
      </w:r>
      <w:r w:rsidR="00D16403" w:rsidRPr="00D16403">
        <w:rPr>
          <w:rFonts w:ascii="Arial" w:eastAsia="Arial" w:hAnsi="Arial" w:cs="Arial"/>
          <w:bCs/>
          <w:sz w:val="18"/>
          <w:szCs w:val="18"/>
        </w:rPr>
        <w:t>.2025</w:t>
      </w:r>
      <w:r w:rsidR="00D16403">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„Przebudowa ulicy Liliowej i Różanej w Złotorii”</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199FA59E" w:rsidR="00B46D33" w:rsidRPr="00E16BD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p</w:t>
      </w:r>
      <w:r w:rsidR="000210D6" w:rsidRPr="000210D6">
        <w:rPr>
          <w:rFonts w:ascii="Arial" w:eastAsia="Arial" w:hAnsi="Arial" w:cs="Arial"/>
          <w:bCs/>
          <w:sz w:val="18"/>
          <w:szCs w:val="18"/>
        </w:rPr>
        <w:t>rzebudow</w:t>
      </w:r>
      <w:r w:rsidR="000210D6">
        <w:rPr>
          <w:rFonts w:ascii="Arial" w:eastAsia="Arial" w:hAnsi="Arial" w:cs="Arial"/>
          <w:bCs/>
          <w:sz w:val="18"/>
          <w:szCs w:val="18"/>
        </w:rPr>
        <w:t>ie</w:t>
      </w:r>
      <w:r w:rsidR="000210D6" w:rsidRPr="000210D6">
        <w:rPr>
          <w:rFonts w:ascii="Arial" w:eastAsia="Arial" w:hAnsi="Arial" w:cs="Arial"/>
          <w:bCs/>
          <w:sz w:val="18"/>
          <w:szCs w:val="18"/>
        </w:rPr>
        <w:t xml:space="preserve"> ulicy Liliowej i Różanej w Złotorii</w:t>
      </w:r>
      <w:r w:rsidR="000210D6">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1E3E8D6D" w14:textId="778943FF"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711CDE4C" w14:textId="300560B6"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45000000-7 – Roboty budowlane</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44717190" w14:textId="77777777" w:rsidR="005503A0" w:rsidRDefault="005503A0" w:rsidP="005503A0">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10C185BB" w14:textId="42DF9693" w:rsidR="00DC0E38" w:rsidRDefault="00DC0E38" w:rsidP="005503A0">
      <w:pPr>
        <w:pStyle w:val="Akapitzlist"/>
        <w:tabs>
          <w:tab w:val="left" w:pos="306"/>
        </w:tabs>
        <w:spacing w:line="276" w:lineRule="auto"/>
        <w:ind w:left="1026"/>
        <w:rPr>
          <w:rFonts w:ascii="Arial" w:eastAsia="Arial" w:hAnsi="Arial" w:cs="Arial"/>
          <w:sz w:val="18"/>
          <w:szCs w:val="18"/>
        </w:rPr>
      </w:pP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 xml:space="preserve">cznych, o których mowa w </w:t>
      </w:r>
      <w:r w:rsidR="00BD56AE">
        <w:rPr>
          <w:rFonts w:ascii="Arial" w:eastAsia="Arial" w:hAnsi="Arial" w:cs="Arial"/>
          <w:color w:val="000000"/>
          <w:sz w:val="18"/>
          <w:szCs w:val="18"/>
          <w:lang w:eastAsia="pl-PL" w:bidi="pl-PL"/>
        </w:rPr>
        <w:lastRenderedPageBreak/>
        <w:t>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71A88295"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7</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B9289E">
        <w:rPr>
          <w:rFonts w:ascii="Arial" w:eastAsia="Arial" w:hAnsi="Arial" w:cs="Arial"/>
          <w:color w:val="000000"/>
          <w:sz w:val="18"/>
          <w:szCs w:val="18"/>
          <w:lang w:eastAsia="pl-PL" w:bidi="pl-PL"/>
        </w:rPr>
        <w:t>siedem</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1387DB54"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8BD">
        <w:rPr>
          <w:rFonts w:ascii="Arial" w:eastAsia="Courier New" w:hAnsi="Arial" w:cs="Arial"/>
          <w:color w:val="000000"/>
          <w:sz w:val="18"/>
          <w:szCs w:val="18"/>
          <w:lang w:eastAsia="pl-PL" w:bidi="pl-PL"/>
        </w:rPr>
        <w:t>500.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8178BD">
        <w:rPr>
          <w:rFonts w:ascii="Arial" w:eastAsia="Courier New" w:hAnsi="Arial" w:cs="Arial"/>
          <w:color w:val="000000"/>
          <w:sz w:val="18"/>
          <w:szCs w:val="18"/>
          <w:lang w:eastAsia="pl-PL" w:bidi="pl-PL"/>
        </w:rPr>
        <w:t>500.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548A5E07" w:rsidR="003C6EC5" w:rsidRPr="00871195"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Pr>
          <w:rFonts w:ascii="Arial" w:eastAsia="Courier New" w:hAnsi="Arial" w:cs="Arial"/>
          <w:color w:val="000000"/>
          <w:sz w:val="18"/>
          <w:szCs w:val="18"/>
          <w:lang w:eastAsia="pl-PL"/>
        </w:rPr>
        <w:t xml:space="preserve">na </w:t>
      </w:r>
      <w:r w:rsidRPr="00CE203F">
        <w:rPr>
          <w:rFonts w:ascii="Arial" w:eastAsia="Courier New" w:hAnsi="Arial" w:cs="Arial"/>
          <w:color w:val="000000"/>
          <w:sz w:val="18"/>
          <w:szCs w:val="18"/>
          <w:lang w:eastAsia="pl-PL"/>
        </w:rPr>
        <w:t>przebudowie lub budowie drogi</w:t>
      </w:r>
      <w:r>
        <w:rPr>
          <w:rFonts w:ascii="Arial" w:eastAsia="Courier New" w:hAnsi="Arial" w:cs="Arial"/>
          <w:color w:val="000000"/>
          <w:sz w:val="18"/>
          <w:szCs w:val="18"/>
          <w:lang w:eastAsia="pl-PL"/>
        </w:rPr>
        <w:t xml:space="preserve"> długości min. 100 m. o nawierzchni z kostki betonowej i/lub kostki kamiennej</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Pzp. lub niniejszą SWZ do oświadczeń i dokumentów składanych przez Wykonawcę w postępowaniu zastosowanie mają w szczególności przepisy rozporządzenia Ministra Rozwoju Pracy </w:t>
      </w:r>
      <w:r w:rsidRPr="00D358B8">
        <w:rPr>
          <w:rFonts w:ascii="Arial" w:hAnsi="Arial" w:cs="Arial"/>
          <w:sz w:val="18"/>
          <w:szCs w:val="18"/>
        </w:rPr>
        <w:lastRenderedPageBreak/>
        <w:t>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6C08BB01"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714723">
        <w:rPr>
          <w:rFonts w:ascii="Arial" w:eastAsia="Arial" w:hAnsi="Arial" w:cs="Arial"/>
          <w:bCs/>
          <w:color w:val="000000"/>
          <w:sz w:val="18"/>
          <w:szCs w:val="18"/>
          <w:lang w:eastAsia="pl-PL" w:bidi="pl-PL"/>
        </w:rPr>
        <w:t>1</w:t>
      </w:r>
      <w:r w:rsidR="0087670C">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w:t>
      </w:r>
      <w:r w:rsidR="00A43FE4">
        <w:rPr>
          <w:rFonts w:ascii="Arial" w:eastAsia="Arial" w:hAnsi="Arial" w:cs="Arial"/>
          <w:bCs/>
          <w:color w:val="000000"/>
          <w:sz w:val="18"/>
          <w:szCs w:val="18"/>
          <w:lang w:eastAsia="pl-PL" w:bidi="pl-PL"/>
        </w:rPr>
        <w:t>1</w:t>
      </w:r>
      <w:r w:rsidR="00FC25A2">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74CFFFC7"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1F33B2">
        <w:rPr>
          <w:rFonts w:ascii="Arial" w:eastAsia="Arial" w:hAnsi="Arial" w:cs="Arial"/>
          <w:bCs/>
          <w:color w:val="000000"/>
          <w:sz w:val="18"/>
          <w:szCs w:val="18"/>
          <w:lang w:eastAsia="pl-PL" w:bidi="pl-PL"/>
        </w:rPr>
        <w:t>1</w:t>
      </w:r>
      <w:r w:rsidR="0087670C">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1F33B2">
        <w:rPr>
          <w:rFonts w:ascii="Arial" w:eastAsia="Arial" w:hAnsi="Arial" w:cs="Arial"/>
          <w:bCs/>
          <w:color w:val="000000"/>
          <w:sz w:val="18"/>
          <w:szCs w:val="18"/>
          <w:lang w:eastAsia="pl-PL" w:bidi="pl-PL"/>
        </w:rPr>
        <w:t>11</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5B4FC79C"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1F33B2">
        <w:rPr>
          <w:rFonts w:ascii="Arial" w:eastAsia="Arial" w:hAnsi="Arial" w:cs="Arial"/>
          <w:bCs/>
          <w:color w:val="000000"/>
          <w:sz w:val="18"/>
          <w:szCs w:val="18"/>
          <w:lang w:eastAsia="pl-PL" w:bidi="pl-PL"/>
        </w:rPr>
        <w:t>1</w:t>
      </w:r>
      <w:r w:rsidR="0087670C">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1F33B2">
        <w:rPr>
          <w:rFonts w:ascii="Arial" w:eastAsia="Arial" w:hAnsi="Arial" w:cs="Arial"/>
          <w:bCs/>
          <w:color w:val="000000"/>
          <w:sz w:val="18"/>
          <w:szCs w:val="18"/>
          <w:lang w:eastAsia="pl-PL" w:bidi="pl-PL"/>
        </w:rPr>
        <w:t>11</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8509" w14:textId="77777777" w:rsidR="00996037" w:rsidRDefault="00996037" w:rsidP="005841E8">
      <w:pPr>
        <w:spacing w:after="0" w:line="240" w:lineRule="auto"/>
      </w:pPr>
      <w:r>
        <w:separator/>
      </w:r>
    </w:p>
  </w:endnote>
  <w:endnote w:type="continuationSeparator" w:id="0">
    <w:p w14:paraId="1DE69EB3" w14:textId="77777777" w:rsidR="00996037" w:rsidRDefault="00996037"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altName w:val="Palatino Linotype"/>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5682" w14:textId="77777777" w:rsidR="00996037" w:rsidRDefault="00996037" w:rsidP="005841E8">
      <w:pPr>
        <w:spacing w:after="0" w:line="240" w:lineRule="auto"/>
      </w:pPr>
      <w:r>
        <w:separator/>
      </w:r>
    </w:p>
  </w:footnote>
  <w:footnote w:type="continuationSeparator" w:id="0">
    <w:p w14:paraId="7432838D" w14:textId="77777777" w:rsidR="00996037" w:rsidRDefault="00996037"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3600"/>
    <w:rsid w:val="00037A32"/>
    <w:rsid w:val="0004041A"/>
    <w:rsid w:val="00040516"/>
    <w:rsid w:val="00042BC6"/>
    <w:rsid w:val="0004386C"/>
    <w:rsid w:val="00045DBC"/>
    <w:rsid w:val="00047CEB"/>
    <w:rsid w:val="00047E22"/>
    <w:rsid w:val="0005468F"/>
    <w:rsid w:val="000563A0"/>
    <w:rsid w:val="00086E01"/>
    <w:rsid w:val="000933EE"/>
    <w:rsid w:val="00097334"/>
    <w:rsid w:val="000A3D0E"/>
    <w:rsid w:val="000B3845"/>
    <w:rsid w:val="000B6FC2"/>
    <w:rsid w:val="000C349E"/>
    <w:rsid w:val="000D0084"/>
    <w:rsid w:val="000D280D"/>
    <w:rsid w:val="000D679C"/>
    <w:rsid w:val="000D784C"/>
    <w:rsid w:val="000E085C"/>
    <w:rsid w:val="000E3AE5"/>
    <w:rsid w:val="000E78E5"/>
    <w:rsid w:val="000F0121"/>
    <w:rsid w:val="000F3E55"/>
    <w:rsid w:val="000F491B"/>
    <w:rsid w:val="000F6015"/>
    <w:rsid w:val="00112724"/>
    <w:rsid w:val="00112C7D"/>
    <w:rsid w:val="001237A6"/>
    <w:rsid w:val="0012396A"/>
    <w:rsid w:val="001307F0"/>
    <w:rsid w:val="00135D5D"/>
    <w:rsid w:val="00145814"/>
    <w:rsid w:val="00147E3F"/>
    <w:rsid w:val="0015339A"/>
    <w:rsid w:val="001539BB"/>
    <w:rsid w:val="00153B7A"/>
    <w:rsid w:val="00154B79"/>
    <w:rsid w:val="00156E06"/>
    <w:rsid w:val="001877BC"/>
    <w:rsid w:val="001971B6"/>
    <w:rsid w:val="001A42A2"/>
    <w:rsid w:val="001A4B1E"/>
    <w:rsid w:val="001B305C"/>
    <w:rsid w:val="001B47AA"/>
    <w:rsid w:val="001C07F7"/>
    <w:rsid w:val="001C5937"/>
    <w:rsid w:val="001D4C09"/>
    <w:rsid w:val="001D69EC"/>
    <w:rsid w:val="001E0CDE"/>
    <w:rsid w:val="001E1E7E"/>
    <w:rsid w:val="001E76DC"/>
    <w:rsid w:val="001F01A6"/>
    <w:rsid w:val="001F2F6C"/>
    <w:rsid w:val="001F33B2"/>
    <w:rsid w:val="00217B63"/>
    <w:rsid w:val="00230FA6"/>
    <w:rsid w:val="00243311"/>
    <w:rsid w:val="00273967"/>
    <w:rsid w:val="00281B0C"/>
    <w:rsid w:val="00281F16"/>
    <w:rsid w:val="002A0DCF"/>
    <w:rsid w:val="002A65E7"/>
    <w:rsid w:val="002A779B"/>
    <w:rsid w:val="002B4566"/>
    <w:rsid w:val="002C0284"/>
    <w:rsid w:val="002C2F03"/>
    <w:rsid w:val="002C54E7"/>
    <w:rsid w:val="002D105A"/>
    <w:rsid w:val="002D7FE3"/>
    <w:rsid w:val="002E037C"/>
    <w:rsid w:val="002F46EE"/>
    <w:rsid w:val="00304011"/>
    <w:rsid w:val="00305915"/>
    <w:rsid w:val="00305F6A"/>
    <w:rsid w:val="0031133D"/>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A6B87"/>
    <w:rsid w:val="003B2E1C"/>
    <w:rsid w:val="003B7F0D"/>
    <w:rsid w:val="003C18DE"/>
    <w:rsid w:val="003C619E"/>
    <w:rsid w:val="003C67C2"/>
    <w:rsid w:val="003C6EC5"/>
    <w:rsid w:val="003C709E"/>
    <w:rsid w:val="003E6D27"/>
    <w:rsid w:val="004056AF"/>
    <w:rsid w:val="004120E6"/>
    <w:rsid w:val="0042116A"/>
    <w:rsid w:val="00421748"/>
    <w:rsid w:val="0042482B"/>
    <w:rsid w:val="00426489"/>
    <w:rsid w:val="0042706E"/>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C27C6"/>
    <w:rsid w:val="004D3EFD"/>
    <w:rsid w:val="004E4CDF"/>
    <w:rsid w:val="00506B5F"/>
    <w:rsid w:val="00510914"/>
    <w:rsid w:val="00511318"/>
    <w:rsid w:val="00516D54"/>
    <w:rsid w:val="00526F2A"/>
    <w:rsid w:val="005429FF"/>
    <w:rsid w:val="005503A0"/>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5F11F3"/>
    <w:rsid w:val="00600731"/>
    <w:rsid w:val="00616B68"/>
    <w:rsid w:val="006217FC"/>
    <w:rsid w:val="006250CD"/>
    <w:rsid w:val="0063424C"/>
    <w:rsid w:val="00641D04"/>
    <w:rsid w:val="00651172"/>
    <w:rsid w:val="0065280E"/>
    <w:rsid w:val="00653622"/>
    <w:rsid w:val="00657104"/>
    <w:rsid w:val="006657F6"/>
    <w:rsid w:val="00670397"/>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C2A80"/>
    <w:rsid w:val="006C40C9"/>
    <w:rsid w:val="006D3F44"/>
    <w:rsid w:val="006D73EB"/>
    <w:rsid w:val="006E075B"/>
    <w:rsid w:val="006F1B83"/>
    <w:rsid w:val="006F34EA"/>
    <w:rsid w:val="006F71BD"/>
    <w:rsid w:val="006F756C"/>
    <w:rsid w:val="00714723"/>
    <w:rsid w:val="00714DF5"/>
    <w:rsid w:val="00722936"/>
    <w:rsid w:val="00732892"/>
    <w:rsid w:val="00741DEB"/>
    <w:rsid w:val="00742820"/>
    <w:rsid w:val="00743601"/>
    <w:rsid w:val="00744783"/>
    <w:rsid w:val="00746694"/>
    <w:rsid w:val="007568AE"/>
    <w:rsid w:val="00760ADE"/>
    <w:rsid w:val="00761D03"/>
    <w:rsid w:val="00763922"/>
    <w:rsid w:val="0077083F"/>
    <w:rsid w:val="00775B78"/>
    <w:rsid w:val="00785B60"/>
    <w:rsid w:val="00791B75"/>
    <w:rsid w:val="007A1EAA"/>
    <w:rsid w:val="007D434C"/>
    <w:rsid w:val="007E0164"/>
    <w:rsid w:val="007E1732"/>
    <w:rsid w:val="007E1D47"/>
    <w:rsid w:val="007E5B32"/>
    <w:rsid w:val="007E7546"/>
    <w:rsid w:val="007F2C86"/>
    <w:rsid w:val="00800B93"/>
    <w:rsid w:val="00810645"/>
    <w:rsid w:val="00816D0B"/>
    <w:rsid w:val="008178BD"/>
    <w:rsid w:val="00826EA3"/>
    <w:rsid w:val="00837B41"/>
    <w:rsid w:val="0084246D"/>
    <w:rsid w:val="00842B77"/>
    <w:rsid w:val="008441A6"/>
    <w:rsid w:val="008519AB"/>
    <w:rsid w:val="008559A5"/>
    <w:rsid w:val="00871195"/>
    <w:rsid w:val="0087670C"/>
    <w:rsid w:val="0089168D"/>
    <w:rsid w:val="00893BD8"/>
    <w:rsid w:val="00895180"/>
    <w:rsid w:val="00895B77"/>
    <w:rsid w:val="00897DE0"/>
    <w:rsid w:val="008A1531"/>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46C9"/>
    <w:rsid w:val="00905E27"/>
    <w:rsid w:val="00915133"/>
    <w:rsid w:val="0091563B"/>
    <w:rsid w:val="009204C3"/>
    <w:rsid w:val="00927F17"/>
    <w:rsid w:val="00930103"/>
    <w:rsid w:val="0093119D"/>
    <w:rsid w:val="00932D58"/>
    <w:rsid w:val="00935649"/>
    <w:rsid w:val="0093578E"/>
    <w:rsid w:val="00943543"/>
    <w:rsid w:val="009442C7"/>
    <w:rsid w:val="00946287"/>
    <w:rsid w:val="00950FF4"/>
    <w:rsid w:val="00954A3C"/>
    <w:rsid w:val="00954C7B"/>
    <w:rsid w:val="00956430"/>
    <w:rsid w:val="009568F1"/>
    <w:rsid w:val="009639DF"/>
    <w:rsid w:val="00977BBF"/>
    <w:rsid w:val="009807EE"/>
    <w:rsid w:val="0099046B"/>
    <w:rsid w:val="0099139D"/>
    <w:rsid w:val="009949AF"/>
    <w:rsid w:val="00996037"/>
    <w:rsid w:val="009A24DE"/>
    <w:rsid w:val="009A71D7"/>
    <w:rsid w:val="009B0E2B"/>
    <w:rsid w:val="009C0A87"/>
    <w:rsid w:val="009C2635"/>
    <w:rsid w:val="009C77AC"/>
    <w:rsid w:val="009D184C"/>
    <w:rsid w:val="009E2353"/>
    <w:rsid w:val="009E3153"/>
    <w:rsid w:val="009E3484"/>
    <w:rsid w:val="009E3D6C"/>
    <w:rsid w:val="009E6A42"/>
    <w:rsid w:val="009F6DEB"/>
    <w:rsid w:val="00A01F53"/>
    <w:rsid w:val="00A03C11"/>
    <w:rsid w:val="00A0404C"/>
    <w:rsid w:val="00A0550C"/>
    <w:rsid w:val="00A11E11"/>
    <w:rsid w:val="00A120FC"/>
    <w:rsid w:val="00A13643"/>
    <w:rsid w:val="00A13AD3"/>
    <w:rsid w:val="00A163E0"/>
    <w:rsid w:val="00A24E8F"/>
    <w:rsid w:val="00A30222"/>
    <w:rsid w:val="00A34335"/>
    <w:rsid w:val="00A43FE4"/>
    <w:rsid w:val="00A574D9"/>
    <w:rsid w:val="00A6055B"/>
    <w:rsid w:val="00A64809"/>
    <w:rsid w:val="00A75011"/>
    <w:rsid w:val="00A75CD8"/>
    <w:rsid w:val="00A82972"/>
    <w:rsid w:val="00A84C36"/>
    <w:rsid w:val="00AA246E"/>
    <w:rsid w:val="00AA663E"/>
    <w:rsid w:val="00AA7442"/>
    <w:rsid w:val="00AB0A96"/>
    <w:rsid w:val="00AB0DF8"/>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699F"/>
    <w:rsid w:val="00BC0570"/>
    <w:rsid w:val="00BC710F"/>
    <w:rsid w:val="00BD4933"/>
    <w:rsid w:val="00BD56AE"/>
    <w:rsid w:val="00BF0D47"/>
    <w:rsid w:val="00C02EE9"/>
    <w:rsid w:val="00C15DFE"/>
    <w:rsid w:val="00C276EF"/>
    <w:rsid w:val="00C31D45"/>
    <w:rsid w:val="00C31DBE"/>
    <w:rsid w:val="00C32D7B"/>
    <w:rsid w:val="00C56DFC"/>
    <w:rsid w:val="00C67C2E"/>
    <w:rsid w:val="00C70FB2"/>
    <w:rsid w:val="00C80EA0"/>
    <w:rsid w:val="00C968C1"/>
    <w:rsid w:val="00CA11B4"/>
    <w:rsid w:val="00CA1B2A"/>
    <w:rsid w:val="00CA40B5"/>
    <w:rsid w:val="00CA7F3A"/>
    <w:rsid w:val="00CB1097"/>
    <w:rsid w:val="00CB2A55"/>
    <w:rsid w:val="00CB5C68"/>
    <w:rsid w:val="00CB686C"/>
    <w:rsid w:val="00CD2695"/>
    <w:rsid w:val="00CD6B2B"/>
    <w:rsid w:val="00CE1788"/>
    <w:rsid w:val="00CE203F"/>
    <w:rsid w:val="00CE3492"/>
    <w:rsid w:val="00D01E36"/>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AAF"/>
    <w:rsid w:val="00DD4577"/>
    <w:rsid w:val="00DD4DD2"/>
    <w:rsid w:val="00DE47A1"/>
    <w:rsid w:val="00DE4D1C"/>
    <w:rsid w:val="00DE5CCF"/>
    <w:rsid w:val="00DE6366"/>
    <w:rsid w:val="00E03E65"/>
    <w:rsid w:val="00E06F76"/>
    <w:rsid w:val="00E16BD6"/>
    <w:rsid w:val="00E229FC"/>
    <w:rsid w:val="00E240BD"/>
    <w:rsid w:val="00E25504"/>
    <w:rsid w:val="00E369F2"/>
    <w:rsid w:val="00E51478"/>
    <w:rsid w:val="00E55C2F"/>
    <w:rsid w:val="00E5692E"/>
    <w:rsid w:val="00E57EC0"/>
    <w:rsid w:val="00E6044C"/>
    <w:rsid w:val="00E659D8"/>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11778"/>
    <w:rsid w:val="00F128E9"/>
    <w:rsid w:val="00F13968"/>
    <w:rsid w:val="00F13972"/>
    <w:rsid w:val="00F16C2A"/>
    <w:rsid w:val="00F22A40"/>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17</Pages>
  <Words>8991</Words>
  <Characters>53946</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53</cp:revision>
  <cp:lastPrinted>2024-03-20T11:06:00Z</cp:lastPrinted>
  <dcterms:created xsi:type="dcterms:W3CDTF">2025-10-27T12:49:00Z</dcterms:created>
  <dcterms:modified xsi:type="dcterms:W3CDTF">2025-11-13T09:20:00Z</dcterms:modified>
</cp:coreProperties>
</file>