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275007B7" w14:textId="77777777" w:rsidR="00020546" w:rsidRDefault="00463959" w:rsidP="001971B6">
      <w:pPr>
        <w:pStyle w:val="Tekstpodstawowy"/>
        <w:jc w:val="center"/>
        <w:rPr>
          <w:rFonts w:cs="Tahoma"/>
          <w:b/>
          <w:lang w:val="pl-PL"/>
        </w:rPr>
      </w:pPr>
      <w:r w:rsidRPr="00463959">
        <w:rPr>
          <w:rFonts w:cs="Tahoma"/>
          <w:b/>
          <w:lang w:val="pl-PL"/>
        </w:rPr>
        <w:t>„</w:t>
      </w:r>
      <w:r w:rsidR="000E085C">
        <w:rPr>
          <w:rFonts w:cs="Tahoma"/>
          <w:b/>
          <w:lang w:val="pl-PL"/>
        </w:rPr>
        <w:t>Remont części drogi gminnej nr 100</w:t>
      </w:r>
      <w:r w:rsidR="00AB0A96">
        <w:rPr>
          <w:rFonts w:cs="Tahoma"/>
          <w:b/>
          <w:lang w:val="pl-PL"/>
        </w:rPr>
        <w:t xml:space="preserve">752C – ul. Golubska i nr 100740C – </w:t>
      </w:r>
    </w:p>
    <w:p w14:paraId="3604150A" w14:textId="06E5573A" w:rsidR="001971B6" w:rsidRDefault="00791B75" w:rsidP="001971B6">
      <w:pPr>
        <w:pStyle w:val="Tekstpodstawowy"/>
        <w:jc w:val="center"/>
        <w:rPr>
          <w:rFonts w:cs="Tahoma"/>
          <w:b/>
          <w:lang w:val="pl-PL"/>
        </w:rPr>
      </w:pPr>
      <w:r>
        <w:rPr>
          <w:rFonts w:cs="Tahoma"/>
          <w:b/>
          <w:lang w:val="pl-PL"/>
        </w:rPr>
        <w:t>u</w:t>
      </w:r>
      <w:r w:rsidR="00AB0A96">
        <w:rPr>
          <w:rFonts w:cs="Tahoma"/>
          <w:b/>
          <w:lang w:val="pl-PL"/>
        </w:rPr>
        <w:t>l. Gr</w:t>
      </w:r>
      <w:r>
        <w:rPr>
          <w:rFonts w:cs="Tahoma"/>
          <w:b/>
          <w:lang w:val="pl-PL"/>
        </w:rPr>
        <w:t>o</w:t>
      </w:r>
      <w:r w:rsidR="00AB0A96">
        <w:rPr>
          <w:rFonts w:cs="Tahoma"/>
          <w:b/>
          <w:lang w:val="pl-PL"/>
        </w:rPr>
        <w:t>nowska w Mły</w:t>
      </w:r>
      <w:r>
        <w:rPr>
          <w:rFonts w:cs="Tahoma"/>
          <w:b/>
          <w:lang w:val="pl-PL"/>
        </w:rPr>
        <w:t>ńcu Pierwszym</w:t>
      </w:r>
      <w:r w:rsidR="00463959">
        <w:rPr>
          <w:rFonts w:cs="Tahoma"/>
          <w:b/>
          <w:lang w:val="pl-PL"/>
        </w:rPr>
        <w:t>.</w:t>
      </w:r>
      <w:r w:rsidR="00463959" w:rsidRPr="00463959">
        <w:rPr>
          <w:rFonts w:cs="Tahoma"/>
          <w:b/>
          <w:lang w:val="pl-PL"/>
        </w:rPr>
        <w:t>”</w:t>
      </w:r>
    </w:p>
    <w:p w14:paraId="6763FC0F" w14:textId="77777777" w:rsidR="00463959" w:rsidRPr="00BA31DE" w:rsidRDefault="00463959" w:rsidP="001971B6">
      <w:pPr>
        <w:pStyle w:val="Tekstpodstawowy"/>
        <w:jc w:val="center"/>
        <w:rPr>
          <w:rFonts w:cs="Tahoma"/>
          <w:b/>
          <w:lang w:val="pl-PL"/>
        </w:rPr>
      </w:pPr>
    </w:p>
    <w:p w14:paraId="256F4617" w14:textId="5552B1CF"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ORG.271.11.2025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6B530001"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568AE">
        <w:rPr>
          <w:rFonts w:ascii="Arial" w:eastAsia="Arial" w:hAnsi="Arial" w:cs="Arial"/>
          <w:b/>
          <w:bCs/>
          <w:color w:val="000000"/>
          <w:sz w:val="18"/>
          <w:szCs w:val="18"/>
          <w:lang w:eastAsia="pl-PL" w:bidi="pl-PL"/>
        </w:rPr>
        <w:t>3</w:t>
      </w:r>
      <w:r w:rsidR="002C0284">
        <w:rPr>
          <w:rFonts w:ascii="Arial" w:eastAsia="Arial" w:hAnsi="Arial" w:cs="Arial"/>
          <w:b/>
          <w:bCs/>
          <w:color w:val="000000"/>
          <w:sz w:val="18"/>
          <w:szCs w:val="18"/>
          <w:lang w:eastAsia="pl-PL" w:bidi="pl-PL"/>
        </w:rPr>
        <w:t xml:space="preserve"> </w:t>
      </w:r>
      <w:r w:rsidR="007568AE">
        <w:rPr>
          <w:rFonts w:ascii="Arial" w:eastAsia="Arial" w:hAnsi="Arial" w:cs="Arial"/>
          <w:b/>
          <w:bCs/>
          <w:color w:val="000000"/>
          <w:sz w:val="18"/>
          <w:szCs w:val="18"/>
          <w:lang w:eastAsia="pl-PL" w:bidi="pl-PL"/>
        </w:rPr>
        <w:t>lipca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298D409D"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w:t>
      </w:r>
      <w:r w:rsidR="00D16403" w:rsidRPr="00D16403">
        <w:rPr>
          <w:rFonts w:ascii="Arial" w:eastAsia="Arial" w:hAnsi="Arial" w:cs="Arial"/>
          <w:bCs/>
          <w:sz w:val="18"/>
          <w:szCs w:val="18"/>
        </w:rPr>
        <w:t>271.11.2025</w:t>
      </w:r>
      <w:r w:rsidR="00D16403">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E16BD6" w:rsidRPr="00E16BD6">
        <w:rPr>
          <w:rFonts w:ascii="Arial" w:eastAsia="Arial" w:hAnsi="Arial" w:cs="Arial"/>
          <w:bCs/>
          <w:sz w:val="18"/>
          <w:szCs w:val="18"/>
        </w:rPr>
        <w:t>„</w:t>
      </w:r>
      <w:r w:rsidR="00EE5DDB" w:rsidRPr="00EE5DDB">
        <w:rPr>
          <w:rFonts w:ascii="Arial" w:eastAsia="Arial" w:hAnsi="Arial" w:cs="Arial"/>
          <w:bCs/>
          <w:sz w:val="18"/>
          <w:szCs w:val="18"/>
        </w:rPr>
        <w:t>Remont części drogi gminnej nr 100752C – ul. Golubska i nr 100740C – ul. Gronowska w Młyńcu Pierwszym.</w:t>
      </w:r>
      <w:r w:rsidR="00A13AD3" w:rsidRPr="00EE5DDB">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310A0354"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B95F98" w:rsidRPr="00B95F98">
        <w:t xml:space="preserve"> </w:t>
      </w:r>
      <w:r w:rsidR="00B95F98">
        <w:rPr>
          <w:rFonts w:ascii="Arial" w:eastAsia="Arial" w:hAnsi="Arial" w:cs="Arial"/>
          <w:bCs/>
          <w:sz w:val="18"/>
          <w:szCs w:val="18"/>
        </w:rPr>
        <w:t>r</w:t>
      </w:r>
      <w:r w:rsidR="00B95F98" w:rsidRPr="00B95F98">
        <w:rPr>
          <w:rFonts w:ascii="Arial" w:eastAsia="Arial" w:hAnsi="Arial" w:cs="Arial"/>
          <w:bCs/>
          <w:sz w:val="18"/>
          <w:szCs w:val="18"/>
        </w:rPr>
        <w:t>emon</w:t>
      </w:r>
      <w:r w:rsidR="00B95F98">
        <w:rPr>
          <w:rFonts w:ascii="Arial" w:eastAsia="Arial" w:hAnsi="Arial" w:cs="Arial"/>
          <w:bCs/>
          <w:sz w:val="18"/>
          <w:szCs w:val="18"/>
        </w:rPr>
        <w:t>cie</w:t>
      </w:r>
      <w:r w:rsidR="00B95F98" w:rsidRPr="00B95F98">
        <w:rPr>
          <w:rFonts w:ascii="Arial" w:eastAsia="Arial" w:hAnsi="Arial" w:cs="Arial"/>
          <w:bCs/>
          <w:sz w:val="18"/>
          <w:szCs w:val="18"/>
        </w:rPr>
        <w:t xml:space="preserve"> części dr</w:t>
      </w:r>
      <w:r w:rsidR="00897DE0">
        <w:rPr>
          <w:rFonts w:ascii="Arial" w:eastAsia="Arial" w:hAnsi="Arial" w:cs="Arial"/>
          <w:bCs/>
          <w:sz w:val="18"/>
          <w:szCs w:val="18"/>
        </w:rPr>
        <w:t xml:space="preserve">óg </w:t>
      </w:r>
      <w:r w:rsidR="00B95F98" w:rsidRPr="00B95F98">
        <w:rPr>
          <w:rFonts w:ascii="Arial" w:eastAsia="Arial" w:hAnsi="Arial" w:cs="Arial"/>
          <w:bCs/>
          <w:sz w:val="18"/>
          <w:szCs w:val="18"/>
        </w:rPr>
        <w:t>gminn</w:t>
      </w:r>
      <w:r w:rsidR="00897DE0">
        <w:rPr>
          <w:rFonts w:ascii="Arial" w:eastAsia="Arial" w:hAnsi="Arial" w:cs="Arial"/>
          <w:bCs/>
          <w:sz w:val="18"/>
          <w:szCs w:val="18"/>
        </w:rPr>
        <w:t>ych</w:t>
      </w:r>
      <w:r w:rsidR="00B95F98" w:rsidRPr="00B95F98">
        <w:rPr>
          <w:rFonts w:ascii="Arial" w:eastAsia="Arial" w:hAnsi="Arial" w:cs="Arial"/>
          <w:bCs/>
          <w:sz w:val="18"/>
          <w:szCs w:val="18"/>
        </w:rPr>
        <w:t xml:space="preserve"> nr 100752C – ul. Golubska i nr 100740C – ul. Gronowska w Młyńcu Pierwszym</w:t>
      </w:r>
      <w:r w:rsidR="00A03C11">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2B9021BF" w:rsidR="00977BBF" w:rsidRPr="00977BBF" w:rsidRDefault="00112724" w:rsidP="0089168D">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0C185BB" w14:textId="02AD5EE7" w:rsidR="00DC0E38" w:rsidRDefault="00DC0E38" w:rsidP="0089168D">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F347A1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BC0570">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BC0570">
        <w:rPr>
          <w:rFonts w:ascii="Arial" w:eastAsia="Arial" w:hAnsi="Arial" w:cs="Arial"/>
          <w:color w:val="000000"/>
          <w:sz w:val="18"/>
          <w:szCs w:val="18"/>
          <w:lang w:eastAsia="pl-PL" w:bidi="pl-PL"/>
        </w:rPr>
        <w:t>sześć</w:t>
      </w:r>
      <w:r w:rsidR="00616B68">
        <w:rPr>
          <w:rFonts w:ascii="Arial" w:eastAsia="Arial" w:hAnsi="Arial" w:cs="Arial"/>
          <w:color w:val="000000"/>
          <w:sz w:val="18"/>
          <w:szCs w:val="18"/>
          <w:lang w:eastAsia="pl-PL" w:bidi="pl-PL"/>
        </w:rPr>
        <w:t xml:space="preserve">) </w:t>
      </w:r>
      <w:r w:rsidR="00BC0570">
        <w:rPr>
          <w:rFonts w:ascii="Arial" w:eastAsia="Arial" w:hAnsi="Arial" w:cs="Arial"/>
          <w:color w:val="000000"/>
          <w:sz w:val="18"/>
          <w:szCs w:val="18"/>
          <w:lang w:eastAsia="pl-PL" w:bidi="pl-PL"/>
        </w:rPr>
        <w:t>tygodni</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DE8140B"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732892">
        <w:rPr>
          <w:rFonts w:ascii="Arial" w:eastAsia="Courier New" w:hAnsi="Arial" w:cs="Arial"/>
          <w:color w:val="000000"/>
          <w:sz w:val="18"/>
          <w:szCs w:val="18"/>
          <w:lang w:eastAsia="pl-PL" w:bidi="pl-PL"/>
        </w:rPr>
        <w:t>80</w:t>
      </w:r>
      <w:r w:rsidR="00A163E0">
        <w:rPr>
          <w:rFonts w:ascii="Arial" w:eastAsia="Courier New" w:hAnsi="Arial" w:cs="Arial"/>
          <w:color w:val="000000"/>
          <w:sz w:val="18"/>
          <w:szCs w:val="18"/>
          <w:lang w:eastAsia="pl-PL" w:bidi="pl-PL"/>
        </w:rPr>
        <w:t xml:space="preserve">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732892">
        <w:rPr>
          <w:rFonts w:ascii="Arial" w:eastAsia="Courier New" w:hAnsi="Arial" w:cs="Arial"/>
          <w:color w:val="000000"/>
          <w:sz w:val="18"/>
          <w:szCs w:val="18"/>
          <w:lang w:eastAsia="pl-PL" w:bidi="pl-PL"/>
        </w:rPr>
        <w:t>80</w:t>
      </w:r>
      <w:r w:rsidR="00A163E0">
        <w:rPr>
          <w:rFonts w:ascii="Arial" w:eastAsia="Courier New" w:hAnsi="Arial" w:cs="Arial"/>
          <w:color w:val="000000"/>
          <w:sz w:val="18"/>
          <w:szCs w:val="18"/>
          <w:lang w:eastAsia="pl-PL" w:bidi="pl-PL"/>
        </w:rPr>
        <w:t xml:space="preserve">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7FD3A451"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D047AC">
        <w:rPr>
          <w:rFonts w:ascii="Arial" w:eastAsia="Courier New" w:hAnsi="Arial" w:cs="Arial"/>
          <w:color w:val="000000"/>
          <w:sz w:val="18"/>
          <w:szCs w:val="18"/>
          <w:lang w:eastAsia="pl-PL"/>
        </w:rPr>
        <w:t xml:space="preserve">remoncie lub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100 m o nawierzchni z </w:t>
      </w:r>
      <w:r w:rsidR="009B0E2B">
        <w:rPr>
          <w:rFonts w:ascii="Arial" w:eastAsia="Courier New" w:hAnsi="Arial" w:cs="Arial"/>
          <w:color w:val="000000"/>
          <w:sz w:val="18"/>
          <w:szCs w:val="18"/>
          <w:lang w:eastAsia="pl-PL"/>
        </w:rPr>
        <w:t xml:space="preserve">masy mineralno </w:t>
      </w:r>
      <w:r w:rsidR="002A0DCF">
        <w:rPr>
          <w:rFonts w:ascii="Arial" w:eastAsia="Courier New" w:hAnsi="Arial" w:cs="Arial"/>
          <w:color w:val="000000"/>
          <w:sz w:val="18"/>
          <w:szCs w:val="18"/>
          <w:lang w:eastAsia="pl-PL"/>
        </w:rPr>
        <w:t xml:space="preserve">- </w:t>
      </w:r>
      <w:r w:rsidR="009B0E2B">
        <w:rPr>
          <w:rFonts w:ascii="Arial" w:eastAsia="Courier New" w:hAnsi="Arial" w:cs="Arial"/>
          <w:color w:val="000000"/>
          <w:sz w:val="18"/>
          <w:szCs w:val="18"/>
          <w:lang w:eastAsia="pl-PL"/>
        </w:rPr>
        <w:t>bitumicznej</w:t>
      </w:r>
      <w:r w:rsidR="002A0DCF">
        <w:rPr>
          <w:rFonts w:ascii="Arial" w:eastAsia="Courier New" w:hAnsi="Arial" w:cs="Arial"/>
          <w:color w:val="000000"/>
          <w:sz w:val="18"/>
          <w:szCs w:val="18"/>
          <w:lang w:eastAsia="pl-PL"/>
        </w:rPr>
        <w:t>.</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ins w:id="6" w:author="olimpia.wilamowska@outlook.com" w:date="2025-06-04T13:56:00Z" w16du:dateUtc="2025-06-04T11:56:00Z">
        <w:r>
          <w:rPr>
            <w:rFonts w:ascii="Arial" w:eastAsia="Courier New" w:hAnsi="Arial" w:cs="Arial"/>
            <w:color w:val="000000"/>
            <w:sz w:val="18"/>
            <w:szCs w:val="18"/>
            <w:lang w:eastAsia="pl-PL"/>
          </w:rPr>
          <w:t xml:space="preserve"> </w:t>
        </w:r>
      </w:ins>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t>
      </w:r>
      <w:r w:rsidRPr="006D3F44">
        <w:rPr>
          <w:rFonts w:ascii="Arial" w:eastAsia="Arial" w:hAnsi="Arial" w:cs="Arial"/>
          <w:sz w:val="18"/>
          <w:szCs w:val="18"/>
        </w:rPr>
        <w:lastRenderedPageBreak/>
        <w:t>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Pzp. lub niniejszą SWZ do oświadczeń i dokumentów składanych przez </w:t>
      </w:r>
      <w:r w:rsidRPr="00D358B8">
        <w:rPr>
          <w:rFonts w:ascii="Arial" w:hAnsi="Arial" w:cs="Arial"/>
          <w:sz w:val="18"/>
          <w:szCs w:val="18"/>
        </w:rPr>
        <w:lastRenderedPageBreak/>
        <w:t>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w:t>
      </w:r>
      <w:r w:rsidRPr="00473EC5">
        <w:rPr>
          <w:rFonts w:ascii="Arial" w:eastAsia="Arial" w:hAnsi="Arial" w:cs="Arial"/>
          <w:bCs/>
          <w:sz w:val="18"/>
          <w:szCs w:val="18"/>
        </w:rPr>
        <w:lastRenderedPageBreak/>
        <w:t xml:space="preserve">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 xml:space="preserve">Wykonawca podaje cenę za realizację przedmiotu zamówienia zgodnie ze wzorem Formularza Ofertowego, </w:t>
      </w:r>
      <w:r w:rsidRPr="00357BB8">
        <w:rPr>
          <w:rFonts w:ascii="Arial" w:eastAsia="Arial" w:hAnsi="Arial" w:cs="Arial"/>
          <w:bCs/>
          <w:sz w:val="18"/>
          <w:szCs w:val="18"/>
        </w:rPr>
        <w:lastRenderedPageBreak/>
        <w:t>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914EF93"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5F11F3">
        <w:rPr>
          <w:rFonts w:ascii="Arial" w:eastAsia="Arial" w:hAnsi="Arial" w:cs="Arial"/>
          <w:bCs/>
          <w:color w:val="000000"/>
          <w:sz w:val="18"/>
          <w:szCs w:val="18"/>
          <w:lang w:eastAsia="pl-PL" w:bidi="pl-PL"/>
        </w:rPr>
        <w:t>19</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D2">
        <w:rPr>
          <w:rFonts w:ascii="Arial" w:eastAsia="Arial" w:hAnsi="Arial" w:cs="Arial"/>
          <w:bCs/>
          <w:color w:val="000000"/>
          <w:sz w:val="18"/>
          <w:szCs w:val="18"/>
          <w:lang w:eastAsia="pl-PL" w:bidi="pl-PL"/>
        </w:rPr>
        <w:t>8</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1"/>
    <w:bookmarkEnd w:id="12"/>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2FEE293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D818BB">
        <w:rPr>
          <w:rFonts w:ascii="Arial" w:eastAsia="Arial" w:hAnsi="Arial" w:cs="Arial"/>
          <w:bCs/>
          <w:color w:val="000000"/>
          <w:sz w:val="18"/>
          <w:szCs w:val="18"/>
          <w:lang w:eastAsia="pl-PL" w:bidi="pl-PL"/>
        </w:rPr>
        <w:t>2</w:t>
      </w:r>
      <w:r w:rsidR="002A65E7">
        <w:rPr>
          <w:rFonts w:ascii="Arial" w:eastAsia="Arial" w:hAnsi="Arial" w:cs="Arial"/>
          <w:bCs/>
          <w:color w:val="000000"/>
          <w:sz w:val="18"/>
          <w:szCs w:val="18"/>
          <w:lang w:eastAsia="pl-PL" w:bidi="pl-PL"/>
        </w:rPr>
        <w:t>1</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17A9BBDF"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818BB">
        <w:rPr>
          <w:rFonts w:ascii="Arial" w:eastAsia="Arial" w:hAnsi="Arial" w:cs="Arial"/>
          <w:bCs/>
          <w:color w:val="000000"/>
          <w:sz w:val="18"/>
          <w:szCs w:val="18"/>
          <w:lang w:eastAsia="pl-PL" w:bidi="pl-PL"/>
        </w:rPr>
        <w:t>2</w:t>
      </w:r>
      <w:r w:rsidR="002A65E7">
        <w:rPr>
          <w:rFonts w:ascii="Arial" w:eastAsia="Arial" w:hAnsi="Arial" w:cs="Arial"/>
          <w:bCs/>
          <w:color w:val="000000"/>
          <w:sz w:val="18"/>
          <w:szCs w:val="18"/>
          <w:lang w:eastAsia="pl-PL" w:bidi="pl-PL"/>
        </w:rPr>
        <w:t>1</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lastRenderedPageBreak/>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66BED78"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D1346B">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FAD6" w14:textId="77777777" w:rsidR="004567F8" w:rsidRDefault="004567F8" w:rsidP="005841E8">
      <w:pPr>
        <w:spacing w:after="0" w:line="240" w:lineRule="auto"/>
      </w:pPr>
      <w:r>
        <w:separator/>
      </w:r>
    </w:p>
  </w:endnote>
  <w:endnote w:type="continuationSeparator" w:id="0">
    <w:p w14:paraId="1278D935" w14:textId="77777777" w:rsidR="004567F8" w:rsidRDefault="004567F8"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5F11F3"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4D84" w14:textId="77777777" w:rsidR="004567F8" w:rsidRDefault="004567F8" w:rsidP="005841E8">
      <w:pPr>
        <w:spacing w:after="0" w:line="240" w:lineRule="auto"/>
      </w:pPr>
      <w:r>
        <w:separator/>
      </w:r>
    </w:p>
  </w:footnote>
  <w:footnote w:type="continuationSeparator" w:id="0">
    <w:p w14:paraId="0ABEAFFF" w14:textId="77777777" w:rsidR="004567F8" w:rsidRDefault="004567F8"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mpia.wilamowska@outlook.com">
    <w15:presenceInfo w15:providerId="Windows Live" w15:userId="a2bcc0ca1265c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28FF"/>
    <w:rsid w:val="00023444"/>
    <w:rsid w:val="00026A70"/>
    <w:rsid w:val="00031FBE"/>
    <w:rsid w:val="00033600"/>
    <w:rsid w:val="0004041A"/>
    <w:rsid w:val="00040516"/>
    <w:rsid w:val="00042BC6"/>
    <w:rsid w:val="0004386C"/>
    <w:rsid w:val="00045DBC"/>
    <w:rsid w:val="00047CEB"/>
    <w:rsid w:val="0005468F"/>
    <w:rsid w:val="000563A0"/>
    <w:rsid w:val="00086E01"/>
    <w:rsid w:val="000933EE"/>
    <w:rsid w:val="000A3D0E"/>
    <w:rsid w:val="000B3845"/>
    <w:rsid w:val="000C349E"/>
    <w:rsid w:val="000D280D"/>
    <w:rsid w:val="000D679C"/>
    <w:rsid w:val="000D784C"/>
    <w:rsid w:val="000E085C"/>
    <w:rsid w:val="000E3AE5"/>
    <w:rsid w:val="000E78E5"/>
    <w:rsid w:val="000F0121"/>
    <w:rsid w:val="000F491B"/>
    <w:rsid w:val="000F6015"/>
    <w:rsid w:val="00112724"/>
    <w:rsid w:val="001237A6"/>
    <w:rsid w:val="0012396A"/>
    <w:rsid w:val="001307F0"/>
    <w:rsid w:val="00135D5D"/>
    <w:rsid w:val="00145814"/>
    <w:rsid w:val="0015339A"/>
    <w:rsid w:val="001539BB"/>
    <w:rsid w:val="00153B7A"/>
    <w:rsid w:val="00154B79"/>
    <w:rsid w:val="00156E06"/>
    <w:rsid w:val="001877BC"/>
    <w:rsid w:val="001971B6"/>
    <w:rsid w:val="001A4B1E"/>
    <w:rsid w:val="001B305C"/>
    <w:rsid w:val="001B47AA"/>
    <w:rsid w:val="001C07F7"/>
    <w:rsid w:val="001C5937"/>
    <w:rsid w:val="001D4C09"/>
    <w:rsid w:val="001D69EC"/>
    <w:rsid w:val="001E0CDE"/>
    <w:rsid w:val="001E1E7E"/>
    <w:rsid w:val="001E76DC"/>
    <w:rsid w:val="001F01A6"/>
    <w:rsid w:val="001F2F6C"/>
    <w:rsid w:val="00217B63"/>
    <w:rsid w:val="00230FA6"/>
    <w:rsid w:val="00243311"/>
    <w:rsid w:val="00281B0C"/>
    <w:rsid w:val="00281F16"/>
    <w:rsid w:val="002A0DCF"/>
    <w:rsid w:val="002A65E7"/>
    <w:rsid w:val="002A779B"/>
    <w:rsid w:val="002C0284"/>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18DE"/>
    <w:rsid w:val="003C619E"/>
    <w:rsid w:val="003C67C2"/>
    <w:rsid w:val="003C709E"/>
    <w:rsid w:val="003E6D27"/>
    <w:rsid w:val="004056AF"/>
    <w:rsid w:val="0042116A"/>
    <w:rsid w:val="00421748"/>
    <w:rsid w:val="0042482B"/>
    <w:rsid w:val="0042706E"/>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C27C6"/>
    <w:rsid w:val="004D3EFD"/>
    <w:rsid w:val="004E4CDF"/>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50CD"/>
    <w:rsid w:val="0063424C"/>
    <w:rsid w:val="00641D04"/>
    <w:rsid w:val="00651172"/>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2A80"/>
    <w:rsid w:val="006C40C9"/>
    <w:rsid w:val="006D3F44"/>
    <w:rsid w:val="006D73EB"/>
    <w:rsid w:val="006E075B"/>
    <w:rsid w:val="006F1B83"/>
    <w:rsid w:val="006F34EA"/>
    <w:rsid w:val="006F71BD"/>
    <w:rsid w:val="006F756C"/>
    <w:rsid w:val="00714DF5"/>
    <w:rsid w:val="00722936"/>
    <w:rsid w:val="00732892"/>
    <w:rsid w:val="00741DEB"/>
    <w:rsid w:val="00742820"/>
    <w:rsid w:val="00744783"/>
    <w:rsid w:val="00746694"/>
    <w:rsid w:val="007568AE"/>
    <w:rsid w:val="00760ADE"/>
    <w:rsid w:val="00761D03"/>
    <w:rsid w:val="00775B78"/>
    <w:rsid w:val="00785B60"/>
    <w:rsid w:val="00791B75"/>
    <w:rsid w:val="007A1EAA"/>
    <w:rsid w:val="007D434C"/>
    <w:rsid w:val="007E0164"/>
    <w:rsid w:val="007E1732"/>
    <w:rsid w:val="007E1D47"/>
    <w:rsid w:val="007E5B32"/>
    <w:rsid w:val="007E7546"/>
    <w:rsid w:val="007F2C86"/>
    <w:rsid w:val="00810645"/>
    <w:rsid w:val="00816D0B"/>
    <w:rsid w:val="00826EA3"/>
    <w:rsid w:val="00837B41"/>
    <w:rsid w:val="00842B77"/>
    <w:rsid w:val="008441A6"/>
    <w:rsid w:val="008519AB"/>
    <w:rsid w:val="008559A5"/>
    <w:rsid w:val="00871195"/>
    <w:rsid w:val="0089168D"/>
    <w:rsid w:val="00893BD8"/>
    <w:rsid w:val="00895180"/>
    <w:rsid w:val="00895B77"/>
    <w:rsid w:val="00897DE0"/>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A3C"/>
    <w:rsid w:val="00954C7B"/>
    <w:rsid w:val="00956430"/>
    <w:rsid w:val="009568F1"/>
    <w:rsid w:val="009639DF"/>
    <w:rsid w:val="00977BBF"/>
    <w:rsid w:val="009807EE"/>
    <w:rsid w:val="0099046B"/>
    <w:rsid w:val="0099139D"/>
    <w:rsid w:val="009949AF"/>
    <w:rsid w:val="009A24DE"/>
    <w:rsid w:val="009A71D7"/>
    <w:rsid w:val="009B0E2B"/>
    <w:rsid w:val="009C0A87"/>
    <w:rsid w:val="009C77AC"/>
    <w:rsid w:val="009D184C"/>
    <w:rsid w:val="009E2353"/>
    <w:rsid w:val="009E3153"/>
    <w:rsid w:val="009E3484"/>
    <w:rsid w:val="009E6A42"/>
    <w:rsid w:val="009F6DEB"/>
    <w:rsid w:val="00A03C11"/>
    <w:rsid w:val="00A0404C"/>
    <w:rsid w:val="00A0550C"/>
    <w:rsid w:val="00A11E11"/>
    <w:rsid w:val="00A13643"/>
    <w:rsid w:val="00A13AD3"/>
    <w:rsid w:val="00A163E0"/>
    <w:rsid w:val="00A24E8F"/>
    <w:rsid w:val="00A30222"/>
    <w:rsid w:val="00A34335"/>
    <w:rsid w:val="00A574D9"/>
    <w:rsid w:val="00A6055B"/>
    <w:rsid w:val="00A64809"/>
    <w:rsid w:val="00A75011"/>
    <w:rsid w:val="00A75CD8"/>
    <w:rsid w:val="00A82972"/>
    <w:rsid w:val="00A84C36"/>
    <w:rsid w:val="00AA246E"/>
    <w:rsid w:val="00AA663E"/>
    <w:rsid w:val="00AA7442"/>
    <w:rsid w:val="00AB0A96"/>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5F98"/>
    <w:rsid w:val="00B97611"/>
    <w:rsid w:val="00BA2702"/>
    <w:rsid w:val="00BA31DE"/>
    <w:rsid w:val="00BA376F"/>
    <w:rsid w:val="00BA7DE0"/>
    <w:rsid w:val="00BB023E"/>
    <w:rsid w:val="00BB507B"/>
    <w:rsid w:val="00BB699F"/>
    <w:rsid w:val="00BC0570"/>
    <w:rsid w:val="00BD4933"/>
    <w:rsid w:val="00BD56AE"/>
    <w:rsid w:val="00C02EE9"/>
    <w:rsid w:val="00C15DFE"/>
    <w:rsid w:val="00C276EF"/>
    <w:rsid w:val="00C31D45"/>
    <w:rsid w:val="00C31DBE"/>
    <w:rsid w:val="00C32D7B"/>
    <w:rsid w:val="00C56DFC"/>
    <w:rsid w:val="00C67C2E"/>
    <w:rsid w:val="00C70FB2"/>
    <w:rsid w:val="00C80EA0"/>
    <w:rsid w:val="00CA11B4"/>
    <w:rsid w:val="00CA40B5"/>
    <w:rsid w:val="00CA7F3A"/>
    <w:rsid w:val="00CB1097"/>
    <w:rsid w:val="00CB2A55"/>
    <w:rsid w:val="00CB686C"/>
    <w:rsid w:val="00CD2695"/>
    <w:rsid w:val="00CD6B2B"/>
    <w:rsid w:val="00CE1788"/>
    <w:rsid w:val="00CE203F"/>
    <w:rsid w:val="00CE3492"/>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8BB"/>
    <w:rsid w:val="00D84B3C"/>
    <w:rsid w:val="00D905D8"/>
    <w:rsid w:val="00D974E2"/>
    <w:rsid w:val="00DA4582"/>
    <w:rsid w:val="00DC0E38"/>
    <w:rsid w:val="00DC3B96"/>
    <w:rsid w:val="00DC4D7B"/>
    <w:rsid w:val="00DC5552"/>
    <w:rsid w:val="00DC7821"/>
    <w:rsid w:val="00DD004B"/>
    <w:rsid w:val="00DD12A4"/>
    <w:rsid w:val="00DD3AAF"/>
    <w:rsid w:val="00DD4577"/>
    <w:rsid w:val="00DD4DD2"/>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A25FF"/>
    <w:rsid w:val="00EB31CC"/>
    <w:rsid w:val="00EC7B7F"/>
    <w:rsid w:val="00ED0B3B"/>
    <w:rsid w:val="00ED7809"/>
    <w:rsid w:val="00EE13F8"/>
    <w:rsid w:val="00EE1EC4"/>
    <w:rsid w:val="00EE2BC3"/>
    <w:rsid w:val="00EE5DDB"/>
    <w:rsid w:val="00EE7671"/>
    <w:rsid w:val="00EF0781"/>
    <w:rsid w:val="00EF59D2"/>
    <w:rsid w:val="00F11778"/>
    <w:rsid w:val="00F128E9"/>
    <w:rsid w:val="00F13968"/>
    <w:rsid w:val="00F13972"/>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62C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microsoft.com/office/2011/relationships/people" Target="peop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9034</Words>
  <Characters>54210</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38</cp:revision>
  <cp:lastPrinted>2024-03-20T11:06:00Z</cp:lastPrinted>
  <dcterms:created xsi:type="dcterms:W3CDTF">2025-07-03T09:22:00Z</dcterms:created>
  <dcterms:modified xsi:type="dcterms:W3CDTF">2025-07-03T11:49:00Z</dcterms:modified>
</cp:coreProperties>
</file>