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57" w:rsidRPr="00972BEB" w:rsidRDefault="00EF2857" w:rsidP="00EF28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BEB">
        <w:rPr>
          <w:rFonts w:ascii="Times New Roman" w:hAnsi="Times New Roman"/>
          <w:b/>
          <w:sz w:val="24"/>
          <w:szCs w:val="24"/>
        </w:rPr>
        <w:t>O B J A Ś N I E N I A</w:t>
      </w:r>
    </w:p>
    <w:p w:rsidR="00EF2857" w:rsidRDefault="00EF2857" w:rsidP="007733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 uchwały w sprawie </w:t>
      </w:r>
      <w:r w:rsidRPr="00972BEB">
        <w:rPr>
          <w:rFonts w:ascii="Times New Roman" w:hAnsi="Times New Roman"/>
          <w:b/>
          <w:sz w:val="24"/>
          <w:szCs w:val="24"/>
        </w:rPr>
        <w:t xml:space="preserve">Wieloletniej Prognozy Finansowej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2BEB">
        <w:rPr>
          <w:rFonts w:ascii="Times New Roman" w:hAnsi="Times New Roman"/>
          <w:b/>
          <w:sz w:val="24"/>
          <w:szCs w:val="24"/>
        </w:rPr>
        <w:t xml:space="preserve">Gminy Lubicz  </w:t>
      </w:r>
      <w:r w:rsidR="007733E9">
        <w:rPr>
          <w:rFonts w:ascii="Times New Roman" w:hAnsi="Times New Roman"/>
          <w:b/>
          <w:sz w:val="24"/>
          <w:szCs w:val="24"/>
        </w:rPr>
        <w:t xml:space="preserve">                      na lata </w:t>
      </w:r>
      <w:r w:rsidRPr="00972BEB">
        <w:rPr>
          <w:rFonts w:ascii="Times New Roman" w:hAnsi="Times New Roman"/>
          <w:b/>
          <w:sz w:val="24"/>
          <w:szCs w:val="24"/>
        </w:rPr>
        <w:t>2011-2021</w:t>
      </w:r>
    </w:p>
    <w:p w:rsidR="00EF2857" w:rsidRDefault="00EF2857" w:rsidP="00EF2857">
      <w:pPr>
        <w:spacing w:after="0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rPr>
          <w:rFonts w:ascii="Times New Roman" w:hAnsi="Times New Roman"/>
          <w:b/>
          <w:sz w:val="24"/>
          <w:szCs w:val="24"/>
        </w:rPr>
      </w:pPr>
      <w:r w:rsidRPr="00972BEB">
        <w:rPr>
          <w:rFonts w:ascii="Times New Roman" w:hAnsi="Times New Roman"/>
          <w:b/>
          <w:sz w:val="24"/>
          <w:szCs w:val="24"/>
        </w:rPr>
        <w:t>WPROWADZENIE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</w:t>
      </w:r>
      <w:r w:rsidRPr="00972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dnia 27 sierpnia 2009r.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157,poz. 1240 ze zm.) wprowadziła obowiązek sporządzenia wieloletniej prognozy finansowej (WPF). Ma ona obejmować swoim </w:t>
      </w:r>
      <w:proofErr w:type="gramStart"/>
      <w:r>
        <w:rPr>
          <w:rFonts w:ascii="Times New Roman" w:hAnsi="Times New Roman"/>
          <w:sz w:val="24"/>
          <w:szCs w:val="24"/>
        </w:rPr>
        <w:t>zakresem co</w:t>
      </w:r>
      <w:proofErr w:type="gramEnd"/>
      <w:r>
        <w:rPr>
          <w:rFonts w:ascii="Times New Roman" w:hAnsi="Times New Roman"/>
          <w:sz w:val="24"/>
          <w:szCs w:val="24"/>
        </w:rPr>
        <w:t xml:space="preserve"> najmniej 4 lata budżetowe (rok budżetowy oraz co najmniej 3 kolejne lata). Po raz pierwszy WPF uchwalana będzie nie później niż uchwała budżetowa na rok 2011. Jest to dokument pozwalający ocenić możliwości inwestycyjne gminy i jej zdolność kredytową.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WPF dotyczy podstawowych parametrów budżetowych tj. prognozowanego poziomu dochodów ( w tym dochodów bieżących, dochodów majątkowych ze sprzedaży majątku i dotacji inwestycyjnych), poziomu wydatków (z podziałem na majątkowe i bieżące) oraz wynikających z nich deficytu lub nadwyżki, kwoty długu ( kredytów, pożyczek i in. przychodów), kwoty obsługi zadłużenia i salda zadłużenia.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WPF gminy Lubicz została sporządzona według tabeli, której wzór opracowało Ministerstwo Finansów w porozumieniu z Regionalnymi Izbami Obrachunkowymi. Obejmuje okres 2011-2021 tj. do ostatecznej spłaty długu gminy.  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68E">
        <w:rPr>
          <w:rFonts w:ascii="Times New Roman" w:hAnsi="Times New Roman"/>
          <w:b/>
          <w:sz w:val="24"/>
          <w:szCs w:val="24"/>
        </w:rPr>
        <w:t>Metodologia opracowania WPF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do przyjęcia danych na potrzeby sporządzenia WPF, dotyczących wzrostu cen, inflacji i innych wskaźników ekonomicznych stanowiła WPF Państwa, określająca dla każdego roku podstawowe wskaźniki makroekonomiczne. Dla potrzeb prognozy zostały przyjęte wskaźniki opracowane przez Ministra Finansów: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pStyle w:val="Podpistabeli0"/>
        <w:framePr w:wrap="notBeside" w:vAnchor="text" w:hAnchor="page" w:x="1630" w:y="1"/>
        <w:shd w:val="clear" w:color="auto" w:fill="auto"/>
        <w:jc w:val="center"/>
      </w:pPr>
      <w:r>
        <w:t>PROGNOZA PODSTAWOWYCH WSKAŹNIKÓW MAKROEKONOMICZNYCH na lata 2011-2017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619"/>
        <w:gridCol w:w="576"/>
        <w:gridCol w:w="475"/>
        <w:gridCol w:w="480"/>
        <w:gridCol w:w="475"/>
        <w:gridCol w:w="480"/>
        <w:gridCol w:w="480"/>
        <w:gridCol w:w="533"/>
      </w:tblGrid>
      <w:tr w:rsidR="00EF2857" w:rsidTr="002B1A22">
        <w:trPr>
          <w:trHeight w:val="547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700"/>
              <w:rPr>
                <w:lang w:eastAsia="pl-PL"/>
              </w:rPr>
            </w:pPr>
            <w:r w:rsidRPr="005B41E2">
              <w:rPr>
                <w:lang w:eastAsia="pl-PL"/>
              </w:rPr>
              <w:t>KATEGORIA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173" w:lineRule="exact"/>
              <w:jc w:val="center"/>
              <w:rPr>
                <w:lang w:eastAsia="pl-PL"/>
              </w:rPr>
            </w:pPr>
            <w:proofErr w:type="spellStart"/>
            <w:r w:rsidRPr="005B41E2">
              <w:rPr>
                <w:lang w:eastAsia="pl-PL"/>
              </w:rPr>
              <w:t>Jednos</w:t>
            </w:r>
            <w:proofErr w:type="spellEnd"/>
          </w:p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173" w:lineRule="exact"/>
              <w:jc w:val="center"/>
              <w:rPr>
                <w:lang w:eastAsia="pl-PL"/>
              </w:rPr>
            </w:pPr>
            <w:proofErr w:type="gramStart"/>
            <w:r w:rsidRPr="005B41E2">
              <w:rPr>
                <w:lang w:eastAsia="pl-PL"/>
              </w:rPr>
              <w:t>tka</w:t>
            </w:r>
            <w:proofErr w:type="gramEnd"/>
            <w:r w:rsidRPr="005B41E2">
              <w:rPr>
                <w:lang w:eastAsia="pl-PL"/>
              </w:rPr>
              <w:t xml:space="preserve"> miary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rPr>
                <w:lang w:eastAsia="pl-PL"/>
              </w:rPr>
            </w:pPr>
            <w:r w:rsidRPr="005B41E2">
              <w:rPr>
                <w:lang w:eastAsia="pl-PL"/>
              </w:rPr>
              <w:t>2011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2012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2013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2014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2015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2016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rPr>
                <w:lang w:eastAsia="pl-PL"/>
              </w:rPr>
            </w:pPr>
            <w:r w:rsidRPr="005B41E2">
              <w:rPr>
                <w:lang w:eastAsia="pl-PL"/>
              </w:rPr>
              <w:t>2017</w:t>
            </w:r>
          </w:p>
        </w:tc>
      </w:tr>
      <w:tr w:rsidR="00EF2857" w:rsidTr="002B1A22">
        <w:trPr>
          <w:trHeight w:val="331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140"/>
              <w:rPr>
                <w:lang w:eastAsia="pl-PL"/>
              </w:rPr>
            </w:pPr>
            <w:r w:rsidRPr="005B41E2">
              <w:rPr>
                <w:lang w:eastAsia="pl-PL"/>
              </w:rPr>
              <w:t>1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3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5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6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7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8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9</w:t>
            </w:r>
          </w:p>
        </w:tc>
      </w:tr>
      <w:tr w:rsidR="00EF2857" w:rsidTr="002B1A22">
        <w:trPr>
          <w:trHeight w:val="422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>1. Średnioroczny wzrost cen towarów i usług konsumpcyjnych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4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102,3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102,5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102,5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102,5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102,3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102,3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102,3</w:t>
            </w:r>
          </w:p>
        </w:tc>
      </w:tr>
      <w:tr w:rsidR="00EF2857" w:rsidTr="002B1A22">
        <w:trPr>
          <w:trHeight w:val="418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>2. Maksymalny wskaźnik wzrostu stawek podatków lokalnych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5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2,6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2,7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2,7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2,6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2,6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2,6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2,6</w:t>
            </w:r>
          </w:p>
        </w:tc>
      </w:tr>
      <w:tr w:rsidR="00EF2857" w:rsidTr="002B1A22">
        <w:trPr>
          <w:trHeight w:val="355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>3. Realny wzrost przeciętnego wynagrodzenia w gospodarce narodowej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3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101,4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103,8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103,9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104,0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104,1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104,2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104,3</w:t>
            </w:r>
          </w:p>
        </w:tc>
      </w:tr>
      <w:tr w:rsidR="00EF2857" w:rsidTr="002B1A22">
        <w:trPr>
          <w:trHeight w:val="365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>4. Minimalne wynagrodzenie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proofErr w:type="gramStart"/>
            <w:r w:rsidRPr="005B41E2">
              <w:rPr>
                <w:lang w:eastAsia="pl-PL"/>
              </w:rPr>
              <w:t>zł</w:t>
            </w:r>
            <w:proofErr w:type="gramEnd"/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1386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1438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1494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1554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1618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1686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1759</w:t>
            </w:r>
          </w:p>
        </w:tc>
      </w:tr>
      <w:tr w:rsidR="00EF2857" w:rsidTr="002B1A22">
        <w:trPr>
          <w:trHeight w:val="374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 xml:space="preserve">5. Średnioroczny kurs złotego w </w:t>
            </w:r>
            <w:proofErr w:type="spellStart"/>
            <w:r w:rsidRPr="005B41E2">
              <w:rPr>
                <w:lang w:eastAsia="pl-PL"/>
              </w:rPr>
              <w:t>realcji</w:t>
            </w:r>
            <w:proofErr w:type="spellEnd"/>
            <w:r w:rsidRPr="005B41E2">
              <w:rPr>
                <w:lang w:eastAsia="pl-PL"/>
              </w:rPr>
              <w:t xml:space="preserve"> EUR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proofErr w:type="gramStart"/>
            <w:r w:rsidRPr="005B41E2">
              <w:rPr>
                <w:lang w:eastAsia="pl-PL"/>
              </w:rPr>
              <w:t>zł</w:t>
            </w:r>
            <w:proofErr w:type="gramEnd"/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3,75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3,65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3,55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3,47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3,47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3,47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3,47</w:t>
            </w:r>
          </w:p>
        </w:tc>
      </w:tr>
      <w:tr w:rsidR="00EF2857" w:rsidTr="002B1A22">
        <w:trPr>
          <w:trHeight w:val="370"/>
          <w:jc w:val="center"/>
        </w:trPr>
        <w:tc>
          <w:tcPr>
            <w:tcW w:w="432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80"/>
              <w:rPr>
                <w:lang w:eastAsia="pl-PL"/>
              </w:rPr>
            </w:pPr>
            <w:r w:rsidRPr="005B41E2">
              <w:rPr>
                <w:lang w:eastAsia="pl-PL"/>
              </w:rPr>
              <w:t xml:space="preserve">6. Stopa oprocentowania kredytów bankowych ( WIBOR </w:t>
            </w:r>
            <w:r w:rsidRPr="005B41E2">
              <w:rPr>
                <w:rStyle w:val="Teksttreci2Odstpy1pt"/>
                <w:lang w:eastAsia="pl-PL"/>
              </w:rPr>
              <w:t>IM)</w:t>
            </w:r>
          </w:p>
        </w:tc>
        <w:tc>
          <w:tcPr>
            <w:tcW w:w="619" w:type="dxa"/>
            <w:shd w:val="clear" w:color="auto" w:fill="FFFFFF"/>
          </w:tcPr>
          <w:p w:rsidR="00EF2857" w:rsidRPr="005B41E2" w:rsidRDefault="00EF2857" w:rsidP="002B1A22">
            <w:pPr>
              <w:pStyle w:val="Teksttreci60"/>
              <w:framePr w:wrap="notBeside" w:vAnchor="text" w:hAnchor="page" w:x="1630" w:y="1"/>
              <w:shd w:val="clear" w:color="auto" w:fill="auto"/>
              <w:spacing w:line="240" w:lineRule="auto"/>
              <w:jc w:val="center"/>
              <w:rPr>
                <w:lang w:eastAsia="pl-PL"/>
              </w:rPr>
            </w:pPr>
            <w:r w:rsidRPr="005B41E2">
              <w:rPr>
                <w:lang w:eastAsia="pl-PL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23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3,7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  <w:tc>
          <w:tcPr>
            <w:tcW w:w="475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  <w:tc>
          <w:tcPr>
            <w:tcW w:w="480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  <w:tc>
          <w:tcPr>
            <w:tcW w:w="533" w:type="dxa"/>
            <w:shd w:val="clear" w:color="auto" w:fill="FFFFFF"/>
          </w:tcPr>
          <w:p w:rsidR="00EF2857" w:rsidRPr="005B41E2" w:rsidRDefault="00EF2857" w:rsidP="002B1A22">
            <w:pPr>
              <w:pStyle w:val="Teksttreci20"/>
              <w:framePr w:wrap="notBeside" w:vAnchor="text" w:hAnchor="page" w:x="1630" w:y="1"/>
              <w:shd w:val="clear" w:color="auto" w:fill="auto"/>
              <w:spacing w:line="240" w:lineRule="auto"/>
              <w:ind w:left="14"/>
              <w:jc w:val="right"/>
              <w:rPr>
                <w:lang w:eastAsia="pl-PL"/>
              </w:rPr>
            </w:pPr>
            <w:r w:rsidRPr="005B41E2">
              <w:rPr>
                <w:lang w:eastAsia="pl-PL"/>
              </w:rPr>
              <w:t>4,0</w:t>
            </w:r>
          </w:p>
        </w:tc>
      </w:tr>
    </w:tbl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25EA">
        <w:rPr>
          <w:rFonts w:ascii="Times New Roman" w:hAnsi="Times New Roman"/>
          <w:b/>
          <w:sz w:val="24"/>
          <w:szCs w:val="24"/>
        </w:rPr>
        <w:t>Zakres wieloletniej WPF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WPF obejmuje</w:t>
      </w:r>
      <w:r w:rsidRPr="001D76F4">
        <w:rPr>
          <w:rFonts w:ascii="Times New Roman" w:hAnsi="Times New Roman"/>
          <w:sz w:val="24"/>
          <w:szCs w:val="24"/>
        </w:rPr>
        <w:t xml:space="preserve"> dochody ogółem, w tym dochody bieżące i dochody majątk</w:t>
      </w:r>
      <w:r>
        <w:rPr>
          <w:rFonts w:ascii="Times New Roman" w:hAnsi="Times New Roman"/>
          <w:sz w:val="24"/>
          <w:szCs w:val="24"/>
        </w:rPr>
        <w:t>owe, w tym ze sprzedaży majątku;</w:t>
      </w:r>
      <w:r w:rsidRPr="001D76F4">
        <w:rPr>
          <w:rFonts w:ascii="Times New Roman" w:hAnsi="Times New Roman"/>
          <w:sz w:val="24"/>
          <w:szCs w:val="24"/>
        </w:rPr>
        <w:t xml:space="preserve"> wydatki bieżące, w tym przeznaczone na wynagrodzenia z pochodnymi, przeznaczone na funkcjonowanie organów gminy, z tytułu poręczeń i gwarancji, wydatki bieżące objęte limitem przedsięwzięć wieloletnich, wyd</w:t>
      </w:r>
      <w:r>
        <w:rPr>
          <w:rFonts w:ascii="Times New Roman" w:hAnsi="Times New Roman"/>
          <w:sz w:val="24"/>
          <w:szCs w:val="24"/>
        </w:rPr>
        <w:t>atki na obsługę długu (odsetki);</w:t>
      </w:r>
      <w:r w:rsidRPr="001D76F4">
        <w:rPr>
          <w:rFonts w:ascii="Times New Roman" w:hAnsi="Times New Roman"/>
          <w:sz w:val="24"/>
          <w:szCs w:val="24"/>
        </w:rPr>
        <w:t xml:space="preserve"> </w:t>
      </w:r>
      <w:r w:rsidRPr="001D76F4">
        <w:rPr>
          <w:rFonts w:ascii="Times New Roman" w:hAnsi="Times New Roman"/>
          <w:sz w:val="24"/>
          <w:szCs w:val="24"/>
        </w:rPr>
        <w:lastRenderedPageBreak/>
        <w:t>wydatki majątkowe, w tym objęte limitem przedsięwzięć wieloletnich</w:t>
      </w:r>
      <w:r>
        <w:rPr>
          <w:rFonts w:ascii="Times New Roman" w:hAnsi="Times New Roman"/>
          <w:sz w:val="24"/>
          <w:szCs w:val="24"/>
        </w:rPr>
        <w:t>; wynik budżetu;</w:t>
      </w:r>
      <w:r w:rsidRPr="001D76F4">
        <w:rPr>
          <w:rFonts w:ascii="Times New Roman" w:hAnsi="Times New Roman"/>
          <w:sz w:val="24"/>
          <w:szCs w:val="24"/>
        </w:rPr>
        <w:t xml:space="preserve"> przeznaczenie nadwyżki budżetowe</w:t>
      </w:r>
      <w:r>
        <w:rPr>
          <w:rFonts w:ascii="Times New Roman" w:hAnsi="Times New Roman"/>
          <w:sz w:val="24"/>
          <w:szCs w:val="24"/>
        </w:rPr>
        <w:t>j albo sposób pokrycia deficytu; przychody i rozchody budżetu;</w:t>
      </w:r>
      <w:r w:rsidRPr="001D76F4">
        <w:rPr>
          <w:rFonts w:ascii="Times New Roman" w:hAnsi="Times New Roman"/>
          <w:sz w:val="24"/>
          <w:szCs w:val="24"/>
        </w:rPr>
        <w:t xml:space="preserve"> kwota długu narastająco i obowiązujące wskaźniki zadłużenia</w:t>
      </w:r>
      <w:r>
        <w:rPr>
          <w:rFonts w:ascii="Times New Roman" w:hAnsi="Times New Roman"/>
          <w:sz w:val="24"/>
          <w:szCs w:val="24"/>
        </w:rPr>
        <w:t>.</w:t>
      </w:r>
    </w:p>
    <w:p w:rsidR="00EF2857" w:rsidRPr="001D76F4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76F4">
        <w:rPr>
          <w:rFonts w:ascii="Times New Roman" w:hAnsi="Times New Roman"/>
          <w:b/>
          <w:sz w:val="24"/>
          <w:szCs w:val="24"/>
        </w:rPr>
        <w:t>Założenia przyjęte do prognozowania dochodów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Prognozą objęto następujące kategorie dochodów bieżących i majątkowych gminy: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dochody</w:t>
      </w:r>
      <w:proofErr w:type="gramEnd"/>
      <w:r>
        <w:rPr>
          <w:rFonts w:ascii="Times New Roman" w:hAnsi="Times New Roman"/>
          <w:sz w:val="24"/>
          <w:szCs w:val="24"/>
        </w:rPr>
        <w:t xml:space="preserve"> własne, w tym: podatki i opłaty, udziały we wpływach z podatku dochodowego od osób fizycznych (PIT) i prawnych(CIT), dochody ze sprzedaży majątku, wpływy za przekształcenie prawa użytkowania wieczystego w prawo własności,</w:t>
      </w:r>
      <w:r w:rsidRPr="006B6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pozostałe dochody własne; subwencja ogólna, dotacje celowe.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Opracowując prognozę wpływów z p</w:t>
      </w:r>
      <w:r w:rsidR="00470B8E">
        <w:rPr>
          <w:rFonts w:ascii="Times New Roman" w:hAnsi="Times New Roman"/>
          <w:sz w:val="24"/>
          <w:szCs w:val="24"/>
        </w:rPr>
        <w:t xml:space="preserve">odatków PIT i CIT analizowano: </w:t>
      </w:r>
      <w:r>
        <w:rPr>
          <w:rFonts w:ascii="Times New Roman" w:hAnsi="Times New Roman"/>
          <w:sz w:val="24"/>
          <w:szCs w:val="24"/>
        </w:rPr>
        <w:t xml:space="preserve">wpływy w skali kraju, dane dotyczące inflacji, kształtowanie się stopy bezrobocia, poziom wynagrodzeń, oraz </w:t>
      </w:r>
      <w:r w:rsidR="00470B8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oziom wykonania w latach poprzednich. Kierując się zasadą ostrożności ustalono dynamikę wzrostu na poziomie 102% w stosunku do roku bazowego 2011.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Opracowując prognozę dla podatków i opłat lokalnych objęto analizą wykonanie dochodów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latach 2006-2010. Uwzględniono na okres objęty prognozą poważny przyrost bazy podatkowej ( przewidujemy dla </w:t>
      </w:r>
      <w:proofErr w:type="gramStart"/>
      <w:r>
        <w:rPr>
          <w:rFonts w:ascii="Times New Roman" w:hAnsi="Times New Roman"/>
          <w:sz w:val="24"/>
          <w:szCs w:val="24"/>
        </w:rPr>
        <w:t>gminy  wzrost</w:t>
      </w:r>
      <w:proofErr w:type="gramEnd"/>
      <w:r>
        <w:rPr>
          <w:rFonts w:ascii="Times New Roman" w:hAnsi="Times New Roman"/>
          <w:sz w:val="24"/>
          <w:szCs w:val="24"/>
        </w:rPr>
        <w:t xml:space="preserve"> inwestycji ze względu na korzystne położenie  terenów przy autostradzie, na obrzeżach miasta Torunia),oraz  skutki wynikające z  planów zagospodarowania przestrzennego ( przyrost terenów pod działalność gospodarczą), przy czym kierując się zasadą ostrożności  dynamikę </w:t>
      </w:r>
      <w:proofErr w:type="spellStart"/>
      <w:r>
        <w:rPr>
          <w:rFonts w:ascii="Times New Roman" w:hAnsi="Times New Roman"/>
          <w:sz w:val="24"/>
          <w:szCs w:val="24"/>
        </w:rPr>
        <w:t>wrostu</w:t>
      </w:r>
      <w:proofErr w:type="spellEnd"/>
      <w:r>
        <w:rPr>
          <w:rFonts w:ascii="Times New Roman" w:hAnsi="Times New Roman"/>
          <w:sz w:val="24"/>
          <w:szCs w:val="24"/>
        </w:rPr>
        <w:t xml:space="preserve">  stawek podatkowych  założono na poziomie 102% w stos.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roku bazowego 2011.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ze sprzedaży majątku zostały określone na bazie zasobu gminnego, gospodarczego przeznaczenia nieruchomości, przygotowania do zbycia, </w:t>
      </w:r>
      <w:proofErr w:type="gramStart"/>
      <w:r>
        <w:rPr>
          <w:rFonts w:ascii="Times New Roman" w:hAnsi="Times New Roman"/>
          <w:sz w:val="24"/>
          <w:szCs w:val="24"/>
        </w:rPr>
        <w:t>oraz  cen</w:t>
      </w:r>
      <w:proofErr w:type="gramEnd"/>
      <w:r>
        <w:rPr>
          <w:rFonts w:ascii="Times New Roman" w:hAnsi="Times New Roman"/>
          <w:sz w:val="24"/>
          <w:szCs w:val="24"/>
        </w:rPr>
        <w:t xml:space="preserve"> rynkowych na terenie gminy. Gmina Lubicz posiada bardzo atrakcyjną ofertę sprzedaży ze względu na specyfikę położenia.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wpływów za wieczyste użytkowanie nieruchomości gminnych oszacowano z uwzględnieniem dwukrotnego przeszacowania wartości w okresie objętym prognozą, co oznacza wzrost wpływów w latach 2013-2020 i 2021 o kolejne 20%.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pozostałych dochodów własnych w oparciu o analizę za poprzednie lata dynamikę wzrostu przyjęto na średnim poziomie 102%.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dochodów z tytułu dotacji celowych na lata prognozy określono przy założeniu dynamiki wzrostu 102%.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Kwoty subwencji oświatowej wyznaczono na podstawie dynamiki za lata poprzednie przy założeniu, że jej dotychczasowy podział dla gmin nie ulegnie zmianie. Dynamika wzrostu została przyjęta na poziomie 110%.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Pr="0060191F" w:rsidRDefault="00EF2857" w:rsidP="00EF28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198">
        <w:rPr>
          <w:rFonts w:ascii="Times New Roman" w:hAnsi="Times New Roman"/>
          <w:b/>
          <w:sz w:val="24"/>
          <w:szCs w:val="24"/>
        </w:rPr>
        <w:lastRenderedPageBreak/>
        <w:t>Założenia przyjęte do prognozowania wydatków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Prognozowania wydatków w WPF dokonano po wydzieleniu grupy wydatków majątkowych określonych w WPI, przewidywanych przedsięwzięciach wieloletnich oraz limitów na zadania wykonywane w okresie jednorocznym.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Uwzględniono również konieczność wygospodarowania z planowanych dochodów kwot przeznaczonych na rozchody z tytułu spłaty długu gminy.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na obsługę długu zaplanowano według umownych warunków oprocentowania zaciągniętych kredytów i pożyczek. Uwzględniono również odsetki od kredytu krótkoterminowego w rachunku budżetu na sfinansowanie przejściowego deficytu budżetu, jak również prognozę odsetek dla długu przewidzianego do zaciągnięcia.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Limity w zakresie wydatków na okres objęty prognozą określono biorąc pod uwagę poziom dochodów bieżących wyznaczających możliwości wydatków na zadania o charakterze b</w:t>
      </w:r>
      <w:r w:rsidR="00470B8E">
        <w:rPr>
          <w:rFonts w:ascii="Times New Roman" w:hAnsi="Times New Roman"/>
          <w:sz w:val="24"/>
          <w:szCs w:val="24"/>
        </w:rPr>
        <w:t xml:space="preserve">ieżącym, przy czym </w:t>
      </w:r>
      <w:proofErr w:type="gramStart"/>
      <w:r w:rsidR="00470B8E">
        <w:rPr>
          <w:rFonts w:ascii="Times New Roman" w:hAnsi="Times New Roman"/>
          <w:sz w:val="24"/>
          <w:szCs w:val="24"/>
        </w:rPr>
        <w:t xml:space="preserve">uwzględniono </w:t>
      </w:r>
      <w:r>
        <w:rPr>
          <w:rFonts w:ascii="Times New Roman" w:hAnsi="Times New Roman"/>
          <w:sz w:val="24"/>
          <w:szCs w:val="24"/>
        </w:rPr>
        <w:t>iż</w:t>
      </w:r>
      <w:proofErr w:type="gramEnd"/>
      <w:r>
        <w:rPr>
          <w:rFonts w:ascii="Times New Roman" w:hAnsi="Times New Roman"/>
          <w:sz w:val="24"/>
          <w:szCs w:val="24"/>
        </w:rPr>
        <w:t xml:space="preserve"> w latach poprzednich objętych analizą poziom wydatków na wynagrodzenia ukształtował proporcję ok. 44% w stosunku do wydatków bieżących ogółem.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bazę przyjęto poziom wynagrodzeń w 2011r. przy założeniu corocznych podwyżek dla nauczycieli na tym samym poziomie tj. 7%. Ze względu na trudną sytuację budżetu przyjęto w okresie prognozowanym brak podwyżek dla pozostałych grup zatrudnionych.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planowanych wyda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tków bieżących w okresie objętym prognozą ( </w:t>
      </w:r>
      <w:r w:rsidRPr="00305B9B">
        <w:rPr>
          <w:rFonts w:ascii="Times New Roman" w:hAnsi="Times New Roman"/>
          <w:i/>
          <w:sz w:val="24"/>
          <w:szCs w:val="24"/>
        </w:rPr>
        <w:t>pozycja 19 WPF</w:t>
      </w:r>
      <w:r>
        <w:rPr>
          <w:rFonts w:ascii="Times New Roman" w:hAnsi="Times New Roman"/>
          <w:sz w:val="24"/>
          <w:szCs w:val="24"/>
        </w:rPr>
        <w:t xml:space="preserve">) jest zgodny z normą określoną w art. 242 ustawy o finansach </w:t>
      </w:r>
      <w:proofErr w:type="gramStart"/>
      <w:r>
        <w:rPr>
          <w:rFonts w:ascii="Times New Roman" w:hAnsi="Times New Roman"/>
          <w:sz w:val="24"/>
          <w:szCs w:val="24"/>
        </w:rPr>
        <w:t>publicznych  -  nie</w:t>
      </w:r>
      <w:proofErr w:type="gramEnd"/>
      <w:r>
        <w:rPr>
          <w:rFonts w:ascii="Times New Roman" w:hAnsi="Times New Roman"/>
          <w:sz w:val="24"/>
          <w:szCs w:val="24"/>
        </w:rPr>
        <w:t xml:space="preserve"> są wyższe niż planowane dochody bieżące (</w:t>
      </w:r>
      <w:r w:rsidRPr="00305B9B">
        <w:rPr>
          <w:rFonts w:ascii="Times New Roman" w:hAnsi="Times New Roman"/>
          <w:i/>
          <w:sz w:val="24"/>
          <w:szCs w:val="24"/>
        </w:rPr>
        <w:t>pozycja 1a WPF</w:t>
      </w:r>
      <w:r>
        <w:rPr>
          <w:rFonts w:ascii="Times New Roman" w:hAnsi="Times New Roman"/>
          <w:sz w:val="24"/>
          <w:szCs w:val="24"/>
        </w:rPr>
        <w:t>) powiększone o wolne środki, o których mowa w art. 217 ust. 2 pkt 6 ustawy o finansach publicznych (</w:t>
      </w:r>
      <w:r w:rsidRPr="00305B9B">
        <w:rPr>
          <w:rFonts w:ascii="Times New Roman" w:hAnsi="Times New Roman"/>
          <w:i/>
          <w:sz w:val="24"/>
          <w:szCs w:val="24"/>
        </w:rPr>
        <w:t>pozycja 4 WPF</w:t>
      </w:r>
      <w:r>
        <w:rPr>
          <w:rFonts w:ascii="Times New Roman" w:hAnsi="Times New Roman"/>
          <w:sz w:val="24"/>
          <w:szCs w:val="24"/>
        </w:rPr>
        <w:t>).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wymogiem art. 226 ust.3 i 4 ustawy o finansach publicznych do WPF dołączono w formie załącznika wykaz przedsięwzięć wieloletnich.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261F">
        <w:rPr>
          <w:rFonts w:ascii="Times New Roman" w:hAnsi="Times New Roman"/>
          <w:b/>
          <w:sz w:val="24"/>
          <w:szCs w:val="24"/>
        </w:rPr>
        <w:t>Prognoza długu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261F">
        <w:rPr>
          <w:rFonts w:ascii="Times New Roman" w:hAnsi="Times New Roman"/>
          <w:sz w:val="24"/>
          <w:szCs w:val="24"/>
        </w:rPr>
        <w:t>Pozycje  WPF</w:t>
      </w:r>
      <w:proofErr w:type="gramEnd"/>
      <w:r w:rsidRPr="00ED261F">
        <w:rPr>
          <w:rFonts w:ascii="Times New Roman" w:hAnsi="Times New Roman"/>
          <w:sz w:val="24"/>
          <w:szCs w:val="24"/>
        </w:rPr>
        <w:t xml:space="preserve"> dotyczące prognozy długu</w:t>
      </w:r>
      <w:r>
        <w:rPr>
          <w:rFonts w:ascii="Times New Roman" w:hAnsi="Times New Roman"/>
          <w:sz w:val="24"/>
          <w:szCs w:val="24"/>
        </w:rPr>
        <w:t xml:space="preserve"> opracowano  na podstawie  zawartych umów o kredyty i pożyczki, zgodnie z wynikającymi z nich kwotami spłat w kolejnych latach oraz szacunkiem odsetek przypadających do spłat według umownych stóp procentowych. Do wydatków na obsługę długu doliczono również odsetki od zobowiązań z tytułu umów związanych z finansowaniem robót budowlanych, które wywołują skutki ekonomiczne podobne do umowy pożyczki lub kredytu.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Uwzględniono </w:t>
      </w:r>
      <w:proofErr w:type="gramStart"/>
      <w:r>
        <w:rPr>
          <w:rFonts w:ascii="Times New Roman" w:hAnsi="Times New Roman"/>
          <w:sz w:val="24"/>
          <w:szCs w:val="24"/>
        </w:rPr>
        <w:t>również  kwoty</w:t>
      </w:r>
      <w:proofErr w:type="gramEnd"/>
      <w:r>
        <w:rPr>
          <w:rFonts w:ascii="Times New Roman" w:hAnsi="Times New Roman"/>
          <w:sz w:val="24"/>
          <w:szCs w:val="24"/>
        </w:rPr>
        <w:t xml:space="preserve"> wynikające z  przewidywanych do zaciągnięcia  kredytów i pożyczek na sfinansowanie wynikających z prognozy wielkości deficytu budżetu  lub na sfinansowanie rozchodów z tytułu zapadających do spłaty w roku kredytów i pożyczek wraz z szacunkową kwotą obsługi długu. 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długu ( </w:t>
      </w:r>
      <w:r w:rsidRPr="00305B9B">
        <w:rPr>
          <w:rFonts w:ascii="Times New Roman" w:hAnsi="Times New Roman"/>
          <w:i/>
          <w:sz w:val="24"/>
          <w:szCs w:val="24"/>
        </w:rPr>
        <w:t>pozycja 13 WPF</w:t>
      </w:r>
      <w:r>
        <w:rPr>
          <w:rFonts w:ascii="Times New Roman" w:hAnsi="Times New Roman"/>
          <w:sz w:val="24"/>
          <w:szCs w:val="24"/>
        </w:rPr>
        <w:t>) obejmuje również, zgodnie z Rozporządzeniem Ministra Finansów z dnia 23 grudnia 2010r. w sprawie szczegółowego sposobu klasyfikacji tytułów dłużnych zaliczanych do państwowego długu publicznego, w tym do długu Skarbu Państwa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252 poz. 1692), kwoty zobowiązań wynikających z umów związanych z </w:t>
      </w:r>
      <w:r>
        <w:rPr>
          <w:rFonts w:ascii="Times New Roman" w:hAnsi="Times New Roman"/>
          <w:sz w:val="24"/>
          <w:szCs w:val="24"/>
        </w:rPr>
        <w:lastRenderedPageBreak/>
        <w:t xml:space="preserve">finansowaniem robót budowlanych, które wywołują skutki ekonomiczne podobne do umowy pożyczki lub kredytu. 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Wyliczenie obowiązujących wskaźników </w:t>
      </w:r>
      <w:proofErr w:type="gramStart"/>
      <w:r>
        <w:rPr>
          <w:rFonts w:ascii="Times New Roman" w:hAnsi="Times New Roman"/>
          <w:sz w:val="24"/>
          <w:szCs w:val="24"/>
        </w:rPr>
        <w:t>zadłużenia  następuje</w:t>
      </w:r>
      <w:proofErr w:type="gramEnd"/>
      <w:r>
        <w:rPr>
          <w:rFonts w:ascii="Times New Roman" w:hAnsi="Times New Roman"/>
          <w:sz w:val="24"/>
          <w:szCs w:val="24"/>
        </w:rPr>
        <w:t xml:space="preserve"> automatycznie przez funkcje wprowadzone w  formularzu prognozy,  na podstawie danych  podstawionych do wzoru określonego w art. 243 ustawy o finansach publicznych. 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roku 2013 zgodnie z art. 121 ust. 2, 7 i 8 ustawy wprowadzającej ustawę o finansach publicznych z 27 sierpnia 2009r.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2009r. Nr 157 poz.1241) WPF prezentuje spełnienie ustawowego poziomu wskaźników określonych w art. 169 i 170 „starej” ustawy o finansach publicznych z dnia 30 czerwca 2005</w:t>
      </w:r>
      <w:proofErr w:type="gramStart"/>
      <w:r>
        <w:rPr>
          <w:rFonts w:ascii="Times New Roman" w:hAnsi="Times New Roman"/>
          <w:sz w:val="24"/>
          <w:szCs w:val="24"/>
        </w:rPr>
        <w:t>r. :</w:t>
      </w:r>
      <w:proofErr w:type="gramEnd"/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wielkości rocznych spłat długu (max. 15% planowanych </w:t>
      </w:r>
      <w:proofErr w:type="gramStart"/>
      <w:r>
        <w:rPr>
          <w:rFonts w:ascii="Times New Roman" w:hAnsi="Times New Roman"/>
          <w:sz w:val="24"/>
          <w:szCs w:val="24"/>
        </w:rPr>
        <w:t xml:space="preserve">dochodów)  -  </w:t>
      </w:r>
      <w:r w:rsidRPr="00305B9B">
        <w:rPr>
          <w:rFonts w:ascii="Times New Roman" w:hAnsi="Times New Roman"/>
          <w:i/>
          <w:sz w:val="24"/>
          <w:szCs w:val="24"/>
        </w:rPr>
        <w:t>w</w:t>
      </w:r>
      <w:proofErr w:type="gramEnd"/>
      <w:r w:rsidRPr="00305B9B">
        <w:rPr>
          <w:rFonts w:ascii="Times New Roman" w:hAnsi="Times New Roman"/>
          <w:i/>
          <w:sz w:val="24"/>
          <w:szCs w:val="24"/>
        </w:rPr>
        <w:t xml:space="preserve"> pozycji 17 WPF</w:t>
      </w:r>
      <w:r>
        <w:rPr>
          <w:rFonts w:ascii="Times New Roman" w:hAnsi="Times New Roman"/>
          <w:sz w:val="24"/>
          <w:szCs w:val="24"/>
        </w:rPr>
        <w:t>,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globalnej kwoty długu (max. 60% planowanych dochodów) – </w:t>
      </w:r>
      <w:r w:rsidRPr="00305B9B">
        <w:rPr>
          <w:rFonts w:ascii="Times New Roman" w:hAnsi="Times New Roman"/>
          <w:i/>
          <w:sz w:val="24"/>
          <w:szCs w:val="24"/>
        </w:rPr>
        <w:t>w pozycji 18 WPF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Dodatkowo, zgodnie z art. 122 ust. 3 ustawy wprowadzającej ustawę o finansach publicznych z 27 sierpnia 2009r., zaprezentowano </w:t>
      </w:r>
      <w:r w:rsidRPr="009136CF">
        <w:rPr>
          <w:rFonts w:ascii="Times New Roman" w:hAnsi="Times New Roman"/>
          <w:i/>
          <w:sz w:val="24"/>
          <w:szCs w:val="24"/>
        </w:rPr>
        <w:t>(pozycja 16 WPF)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latach 2011 – 2013 gmina spełnia wymogi nowych przepisów art. 243 ustawy o finansach </w:t>
      </w:r>
      <w:proofErr w:type="gramStart"/>
      <w:r>
        <w:rPr>
          <w:rFonts w:ascii="Times New Roman" w:hAnsi="Times New Roman"/>
          <w:sz w:val="24"/>
          <w:szCs w:val="24"/>
        </w:rPr>
        <w:t>publicznych,  określających</w:t>
      </w:r>
      <w:proofErr w:type="gramEnd"/>
      <w:r>
        <w:rPr>
          <w:rFonts w:ascii="Times New Roman" w:hAnsi="Times New Roman"/>
          <w:sz w:val="24"/>
          <w:szCs w:val="24"/>
        </w:rPr>
        <w:t xml:space="preserve"> dopuszczalny poziom wskaźnika relacji łącznej kwoty spłat długu do planowanych dochodów  ogółem (</w:t>
      </w:r>
      <w:r w:rsidRPr="009136CF">
        <w:rPr>
          <w:rFonts w:ascii="Times New Roman" w:hAnsi="Times New Roman"/>
          <w:i/>
          <w:sz w:val="24"/>
          <w:szCs w:val="24"/>
        </w:rPr>
        <w:t>WPF pozycja</w:t>
      </w:r>
      <w:r>
        <w:rPr>
          <w:rFonts w:ascii="Times New Roman" w:hAnsi="Times New Roman"/>
          <w:i/>
          <w:sz w:val="24"/>
          <w:szCs w:val="24"/>
        </w:rPr>
        <w:t xml:space="preserve">: 15 – realizacja,  </w:t>
      </w:r>
      <w:r w:rsidRPr="009136CF">
        <w:rPr>
          <w:rFonts w:ascii="Times New Roman" w:hAnsi="Times New Roman"/>
          <w:i/>
          <w:sz w:val="24"/>
          <w:szCs w:val="24"/>
        </w:rPr>
        <w:t xml:space="preserve"> 15a</w:t>
      </w:r>
      <w:r>
        <w:rPr>
          <w:rFonts w:ascii="Times New Roman" w:hAnsi="Times New Roman"/>
          <w:i/>
          <w:sz w:val="24"/>
          <w:szCs w:val="24"/>
        </w:rPr>
        <w:t>-norma</w:t>
      </w:r>
      <w:r>
        <w:rPr>
          <w:rFonts w:ascii="Times New Roman" w:hAnsi="Times New Roman"/>
          <w:sz w:val="24"/>
          <w:szCs w:val="24"/>
        </w:rPr>
        <w:t xml:space="preserve">). W </w:t>
      </w:r>
      <w:proofErr w:type="gramStart"/>
      <w:r>
        <w:rPr>
          <w:rFonts w:ascii="Times New Roman" w:hAnsi="Times New Roman"/>
          <w:sz w:val="24"/>
          <w:szCs w:val="24"/>
        </w:rPr>
        <w:t>latach  2011 - 2013 gmina</w:t>
      </w:r>
      <w:proofErr w:type="gramEnd"/>
      <w:r>
        <w:rPr>
          <w:rFonts w:ascii="Times New Roman" w:hAnsi="Times New Roman"/>
          <w:sz w:val="24"/>
          <w:szCs w:val="24"/>
        </w:rPr>
        <w:t xml:space="preserve"> nowych wymogów nie spełnia, jednakże wynik ten pełni  w tym okresie jedynie rolę informacyjną.</w:t>
      </w:r>
    </w:p>
    <w:p w:rsidR="00EF2857" w:rsidRPr="009136CF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Natomiast w latach 2014 – 2021, kiedy regulacje art. 243 wchodzą w życie, prognoza budżetów wskazuje na spełnienie ustawowych wymogów w zakresie dopuszczalnego poziomu wskaźnika rocznej spłaty długu.</w:t>
      </w:r>
    </w:p>
    <w:p w:rsidR="00EF2857" w:rsidRPr="00305B9B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857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2857" w:rsidRPr="001D76F4" w:rsidRDefault="00EF2857" w:rsidP="00EF2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2C8D" w:rsidRPr="00B71F82" w:rsidRDefault="004F2C8D" w:rsidP="00B71F82"/>
    <w:sectPr w:rsidR="004F2C8D" w:rsidRPr="00B71F82" w:rsidSect="0066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016A"/>
    <w:multiLevelType w:val="hybridMultilevel"/>
    <w:tmpl w:val="8690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D4D"/>
    <w:rsid w:val="00470B8E"/>
    <w:rsid w:val="004F2C8D"/>
    <w:rsid w:val="007733E9"/>
    <w:rsid w:val="008D7D4D"/>
    <w:rsid w:val="00B71F82"/>
    <w:rsid w:val="00EF2857"/>
    <w:rsid w:val="00F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D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D4D"/>
    <w:pPr>
      <w:ind w:left="720"/>
      <w:contextualSpacing/>
    </w:pPr>
  </w:style>
  <w:style w:type="character" w:customStyle="1" w:styleId="Podpistabeli">
    <w:name w:val="Podpis tabeli_"/>
    <w:link w:val="Podpistabeli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2">
    <w:name w:val="Tekst treści (2)_"/>
    <w:link w:val="Teksttreci2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4">
    <w:name w:val="Tekst treści (4)_"/>
    <w:link w:val="Teksttreci4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5">
    <w:name w:val="Tekst treści (5)_"/>
    <w:link w:val="Teksttreci5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3">
    <w:name w:val="Tekst treści (3)_"/>
    <w:link w:val="Teksttreci3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2Odstpy1pt">
    <w:name w:val="Tekst treści (2) + Odstępy 1 pt"/>
    <w:rsid w:val="008D7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Teksttreci6">
    <w:name w:val="Tekst treści (6)_"/>
    <w:link w:val="Teksttreci60"/>
    <w:rsid w:val="008D7D4D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D7D4D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8D7D4D"/>
    <w:pPr>
      <w:shd w:val="clear" w:color="auto" w:fill="FFFFFF"/>
      <w:spacing w:after="0" w:line="168" w:lineRule="exact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8D7D4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8D7D4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8D7D4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8D7D4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1351</Words>
  <Characters>8108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UG LUBICZ</cp:lastModifiedBy>
  <cp:revision>6</cp:revision>
  <dcterms:created xsi:type="dcterms:W3CDTF">2011-01-27T08:58:00Z</dcterms:created>
  <dcterms:modified xsi:type="dcterms:W3CDTF">2011-02-04T10:20:00Z</dcterms:modified>
</cp:coreProperties>
</file>